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5615-25</w:t>
      </w:r>
      <w:r>
        <w:rPr>
          <w:b/>
          <w:lang w:val="es-AR" w:eastAsia="es-AR" w:bidi="es-AR"/>
        </w:rPr>
        <w:t xml:space="preserve"> </w:t>
      </w:r>
      <w:r>
        <w:rPr>
          <w:lang w:val="es-AR" w:eastAsia="es-AR" w:bidi="es-AR"/>
        </w:rPr>
        <w:t xml:space="preserve">caratulada </w:t>
      </w:r>
      <w:r>
        <w:rPr>
          <w:b/>
          <w:lang w:val="es-AR" w:eastAsia="es-AR" w:bidi="es-AR"/>
        </w:rPr>
        <w:t xml:space="preserve">"</w:t>
      </w:r>
      <w:r>
        <w:rPr>
          <w:b/>
          <w:color w:val="000000"/>
          <w:lang w:val="es-AR" w:eastAsia="es-AR" w:bidi="es-AR"/>
        </w:rPr>
        <w:t xml:space="preserve">MOREIRA ROSALIA CARMEN HAYDEE C/ MARTINEZ CRISTINA DEL VALLE S/ ACCIONES POSESORIAS</w:t>
      </w:r>
      <w:r>
        <w:rPr>
          <w:b/>
          <w:lang w:val="es-AR" w:eastAsia="es-AR" w:bidi="es-AR"/>
        </w:rPr>
        <w:t xml:space="preserve">"</w:t>
      </w:r>
      <w:r>
        <w:rPr>
          <w:lang w:val="es-AR" w:eastAsia="es-AR" w:bidi="es-AR"/>
        </w:rPr>
        <w:t xml:space="preserve">, Expte.N° 88.186 del Juzgado Civil y Comercial N° 2</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 señor Juez Roberto Degleue dijo:</w:t>
      </w:r>
    </w:p>
    <w:p>
      <w:pPr>
        <w:pStyle w:val="[Normal]"/>
        <w:spacing w:line="360" w:lineRule="auto"/>
        <w:ind w:firstLine="1134"/>
        <w:jc w:val="both"/>
        <w:rPr>
          <w:lang w:val="es-AR" w:eastAsia="es-AR" w:bidi="es-AR"/>
        </w:rPr>
      </w:pPr>
      <w:r>
        <w:rPr>
          <w:lang w:val="es-AR" w:eastAsia="es-AR" w:bidi="es-AR"/>
        </w:rPr>
        <w:t xml:space="preserve">El juez de primera instancia hizo lugar a la demanda incoada por la Sra. Rosalia Carmen Haydee Moreira, condenando a la Sra. Cristina del Valle Martínez, al Sr. Walter Gustavo Balmaceda y/o a quien resulte ocupante del bien ubicado en calle Francisco Ramírez s/n de la localidad de Mariano Benítez, Partido de Pergamino, a restituir la posesión del mismo a la parte actora, dentro del plazo de diez días de notificada la sentencia.</w:t>
      </w:r>
    </w:p>
    <w:p>
      <w:pPr>
        <w:pStyle w:val="[Normal]"/>
        <w:spacing w:line="360" w:lineRule="auto"/>
        <w:ind w:firstLine="1134"/>
        <w:jc w:val="both"/>
        <w:rPr>
          <w:lang w:val="es-AR" w:eastAsia="es-AR" w:bidi="es-AR"/>
        </w:rPr>
      </w:pPr>
      <w:r>
        <w:rPr>
          <w:lang w:val="es-AR" w:eastAsia="es-AR" w:bidi="es-AR"/>
        </w:rPr>
        <w:t xml:space="preserve">Disconformes con lo resuelto, apelaron la parte demandada el 12/3/2025 y el tercero citado el 14/3/2025, presentando sus expresiones de agravios en fechas 1/4/2025 y 28/4/2025, respectivamente, las que fueron contestadas por la actora el 8/5/2025.</w:t>
      </w:r>
    </w:p>
    <w:p>
      <w:pPr>
        <w:pStyle w:val="[Normal]"/>
        <w:spacing w:line="360" w:lineRule="auto"/>
        <w:ind w:firstLine="1134"/>
        <w:jc w:val="both"/>
        <w:rPr>
          <w:lang w:val="es-AR" w:eastAsia="es-AR" w:bidi="es-AR"/>
        </w:rPr>
      </w:pPr>
      <w:r>
        <w:rPr>
          <w:lang w:val="es-AR" w:eastAsia="es-AR" w:bidi="es-AR"/>
        </w:rPr>
        <w:t xml:space="preserve">En fecha 13/5/2025 se dictó el llamamiento de autos para sentencia, providencia que adquirió firmeza, quedando la causa en condiciones de ser resuelta.</w:t>
      </w:r>
    </w:p>
    <w:p>
      <w:pPr>
        <w:pStyle w:val="[Normal]"/>
        <w:spacing w:line="360" w:lineRule="auto"/>
        <w:ind w:firstLine="1134"/>
        <w:jc w:val="both"/>
        <w:rPr>
          <w:lang w:val="es-AR" w:eastAsia="es-AR" w:bidi="es-AR"/>
        </w:rPr>
      </w:pPr>
      <w:r>
        <w:rPr>
          <w:b/>
          <w:lang w:val="es-AR" w:eastAsia="es-AR" w:bidi="es-AR"/>
        </w:rPr>
        <w:t xml:space="preserve">Agravios demandada:</w:t>
      </w:r>
    </w:p>
    <w:p>
      <w:pPr>
        <w:pStyle w:val="[Normal]"/>
        <w:spacing w:line="360" w:lineRule="auto"/>
        <w:ind w:firstLine="1134"/>
        <w:jc w:val="both"/>
        <w:rPr>
          <w:lang w:val="es-AR" w:eastAsia="es-AR" w:bidi="es-AR"/>
        </w:rPr>
      </w:pPr>
      <w:r>
        <w:rPr>
          <w:lang w:val="es-AR" w:eastAsia="es-AR" w:bidi="es-AR"/>
        </w:rPr>
        <w:t xml:space="preserve">La parte recurrente se agravia de que la sentencia de primera instancia haya hecho lugar a la demanda por despojo sin haberse acreditado en forma fehaciente los extremos exigidos por el artículo 608 del Código Procesal Civil y Comercial, en particular, la posesión actual por parte de la actora al momento de los hechos y el supuesto despojo alegado.-</w:t>
      </w:r>
    </w:p>
    <w:p>
      <w:pPr>
        <w:pStyle w:val="[Normal]"/>
        <w:spacing w:line="360" w:lineRule="auto"/>
        <w:ind w:firstLine="1134"/>
        <w:jc w:val="both"/>
        <w:rPr>
          <w:lang w:val="es-AR" w:eastAsia="es-AR" w:bidi="es-AR"/>
        </w:rPr>
      </w:pPr>
      <w:r>
        <w:rPr>
          <w:lang w:val="es-AR" w:eastAsia="es-AR" w:bidi="es-AR"/>
        </w:rPr>
        <w:t xml:space="preserve"> Sostiene que la actora no ha demostrado haber ejercido poder de hecho sobre el inmueble, ni siquiera por un período breve, lo que impide considerar que haya sido privada de la posesión. </w:t>
      </w:r>
    </w:p>
    <w:p>
      <w:pPr>
        <w:pStyle w:val="[Normal]"/>
        <w:spacing w:line="360" w:lineRule="auto"/>
        <w:ind w:firstLine="1134"/>
        <w:jc w:val="both"/>
        <w:rPr>
          <w:lang w:val="es-AR" w:eastAsia="es-AR" w:bidi="es-AR"/>
        </w:rPr>
      </w:pPr>
      <w:r>
        <w:rPr>
          <w:lang w:val="es-AR" w:eastAsia="es-AR" w:bidi="es-AR"/>
        </w:rPr>
        <w:t xml:space="preserve">Entiende que la sentencia se basó de manera exclusiva en la escritura de cesión de derechos posesorios, cuando en rigor dicho instrumento solo da cuenta de la voluntad de las partes y de los actos cumplidos ante el notario, sin acreditar por sí mismo la existencia de una efectiva posesión material del bien.-</w:t>
      </w:r>
    </w:p>
    <w:p>
      <w:pPr>
        <w:pStyle w:val="[Normal]"/>
        <w:spacing w:line="360" w:lineRule="auto"/>
        <w:ind w:firstLine="1134"/>
        <w:jc w:val="both"/>
        <w:rPr>
          <w:lang w:val="es-AR" w:eastAsia="es-AR" w:bidi="es-AR"/>
        </w:rPr>
      </w:pPr>
      <w:r>
        <w:rPr>
          <w:lang w:val="es-AR" w:eastAsia="es-AR" w:bidi="es-AR"/>
        </w:rPr>
        <w:t xml:space="preserve">Alega que el instrumento público en cuestión no tiene fuerza probatoria frente a terceros respecto de los hechos que no hayan sido presenciados por el escribano, como ser la supuesta tradición del inmueble.-</w:t>
      </w:r>
    </w:p>
    <w:p>
      <w:pPr>
        <w:pStyle w:val="[Normal]"/>
        <w:spacing w:line="360" w:lineRule="auto"/>
        <w:ind w:firstLine="1134"/>
        <w:jc w:val="both"/>
        <w:rPr>
          <w:lang w:val="es-AR" w:eastAsia="es-AR" w:bidi="es-AR"/>
        </w:rPr>
      </w:pPr>
      <w:r>
        <w:rPr>
          <w:lang w:val="es-AR" w:eastAsia="es-AR" w:bidi="es-AR"/>
        </w:rPr>
        <w:t xml:space="preserve"> Cuestiona la valoración efectuada por el juzgador respecto de la prueba testimonial, por cuanto los deponentes ofrecidos por la actora brindaron declaraciones genéricas, imprecisas o de oídas, sin aportar datos específicos sobre actos posesorios realizados por la</w:t>
      </w:r>
      <w:r>
        <w:rPr>
          <w:b/>
          <w:lang w:val="es-AR" w:eastAsia="es-AR" w:bidi="es-AR"/>
        </w:rPr>
        <w:t xml:space="preserve"> </w:t>
      </w:r>
      <w:r>
        <w:rPr>
          <w:lang w:val="es-AR" w:eastAsia="es-AR" w:bidi="es-AR"/>
        </w:rPr>
        <w:t xml:space="preserve">cesionaria, y sin poder determinar siquiera la época en que dichos actos habrían ocurrido.-</w:t>
      </w:r>
    </w:p>
    <w:p>
      <w:pPr>
        <w:pStyle w:val="[Normal]"/>
        <w:spacing w:line="360" w:lineRule="auto"/>
        <w:ind w:firstLine="1134"/>
        <w:jc w:val="both"/>
        <w:rPr>
          <w:lang w:val="es-AR" w:eastAsia="es-AR" w:bidi="es-AR"/>
        </w:rPr>
      </w:pPr>
      <w:r>
        <w:rPr>
          <w:lang w:val="es-AR" w:eastAsia="es-AR" w:bidi="es-AR"/>
        </w:rPr>
        <w:t xml:space="preserve">Se queja de que la actora no haya acompañado ningún tipo de documentación que acredite mejoras, construcción o inversión alguna sobre el inmueble que evidencie un ejercicio de la posesión. En cambio, sostiene el tercero citado (Balmaceda) sí aportó comprobantes de adquisición de materiales con destino al inmueble en cuestión, lo que fue corroborado por la prueba pericial.-</w:t>
      </w:r>
    </w:p>
    <w:p>
      <w:pPr>
        <w:pStyle w:val="[Normal]"/>
        <w:spacing w:line="360" w:lineRule="auto"/>
        <w:ind w:firstLine="1134"/>
        <w:jc w:val="both"/>
        <w:rPr>
          <w:lang w:val="es-AR" w:eastAsia="es-AR" w:bidi="es-AR"/>
        </w:rPr>
      </w:pPr>
      <w:r>
        <w:rPr>
          <w:lang w:val="es-AR" w:eastAsia="es-AR" w:bidi="es-AR"/>
        </w:rPr>
        <w:t xml:space="preserve"> Destaca que el delegado municipal de la localidad declaró no conocer a la actora, lo cual considera relevante dado el reducido número de habitantes del lugar, lo que lleva a presumir que quien realmente estuvo en posesión del inmueble fue el tercero y no la demandante.-</w:t>
      </w:r>
    </w:p>
    <w:p>
      <w:pPr>
        <w:pStyle w:val="[Normal]"/>
        <w:spacing w:line="360" w:lineRule="auto"/>
        <w:ind w:firstLine="1134"/>
        <w:jc w:val="both"/>
        <w:rPr>
          <w:lang w:val="es-AR" w:eastAsia="es-AR" w:bidi="es-AR"/>
        </w:rPr>
      </w:pPr>
      <w:r>
        <w:rPr>
          <w:lang w:val="es-AR" w:eastAsia="es-AR" w:bidi="es-AR"/>
        </w:rPr>
        <w:t xml:space="preserve">Solicita se revoque la sentencia apelada y se rechace la demanda incoada por Moreira.- </w:t>
      </w:r>
    </w:p>
    <w:p>
      <w:pPr>
        <w:pStyle w:val="[Normal]"/>
        <w:spacing w:line="360" w:lineRule="auto"/>
        <w:ind w:firstLine="1134"/>
        <w:jc w:val="both"/>
        <w:rPr>
          <w:lang w:val="es-AR" w:eastAsia="es-AR" w:bidi="es-AR"/>
        </w:rPr>
      </w:pPr>
      <w:r>
        <w:rPr>
          <w:b/>
          <w:lang w:val="es-AR" w:eastAsia="es-AR" w:bidi="es-AR"/>
        </w:rPr>
        <w:t xml:space="preserve">Agravios tercero citado (Balmaceda):</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Centra sus agravios en que la sentencia de primera instancia ha incurrido en una valoración parcial, sesgada y manifiestamente arbitraria del material probatorio obrante en autos, omitiendo por completo el análisis de la prueba aportada tanto por la parte demandada como por el tercero citado, lo que habría implicado una vulneración al derecho de defensa y al principio de igualdad procesal.-</w:t>
      </w:r>
    </w:p>
    <w:p>
      <w:pPr>
        <w:pStyle w:val="[Normal]"/>
        <w:spacing w:line="360" w:lineRule="auto"/>
        <w:ind w:firstLine="1134"/>
        <w:jc w:val="both"/>
        <w:rPr>
          <w:lang w:val="es-AR" w:eastAsia="es-AR" w:bidi="es-AR"/>
        </w:rPr>
      </w:pPr>
      <w:r>
        <w:rPr>
          <w:lang w:val="es-AR" w:eastAsia="es-AR" w:bidi="es-AR"/>
        </w:rPr>
        <w:t xml:space="preserve">Sostiene que fueron ignoradas las declaraciones testimoniales que acreditan que tanto Balmaceda como Martínez detentaron la posesión del inmueble por más de tres años, que realizaron construcciones y mejoras en el mismo, lo cual se ve respaldado por copiosa documental (facturas de compra de materiales, pagos de mano de obra y servicios), así como prueba informativa no valorada.-</w:t>
      </w:r>
    </w:p>
    <w:p>
      <w:pPr>
        <w:pStyle w:val="[Normal]"/>
        <w:spacing w:line="360" w:lineRule="auto"/>
        <w:ind w:firstLine="1134"/>
        <w:jc w:val="both"/>
        <w:rPr>
          <w:lang w:val="es-AR" w:eastAsia="es-AR" w:bidi="es-AR"/>
        </w:rPr>
      </w:pPr>
      <w:r>
        <w:rPr>
          <w:lang w:val="es-AR" w:eastAsia="es-AR" w:bidi="es-AR"/>
        </w:rPr>
        <w:t xml:space="preserve">Se duele de que se haya descalificado la declaración del Sr. Bonavita con fundamento en la teoría de los actos propios, en tanto habría contradicho el contenido de la escritura pública de cesión de derechos, pese a que, según afirma el recurrente, la escritura fue suscripta en un contexto excepcional derivado de la pandemia de COVID-19, con Bonavita afectado por la enfermedad, y en condiciones que impidieron el desarrollo pleno de un acto notarial ordinario.-</w:t>
      </w:r>
    </w:p>
    <w:p>
      <w:pPr>
        <w:pStyle w:val="[Normal]"/>
        <w:spacing w:line="360" w:lineRule="auto"/>
        <w:ind w:firstLine="1134"/>
        <w:jc w:val="both"/>
        <w:rPr>
          <w:lang w:val="es-AR" w:eastAsia="es-AR" w:bidi="es-AR"/>
        </w:rPr>
      </w:pPr>
      <w:r>
        <w:rPr>
          <w:lang w:val="es-AR" w:eastAsia="es-AR" w:bidi="es-AR"/>
        </w:rPr>
        <w:t xml:space="preserve"> Aduce que dicha escritura no puede erigirse como prueba de la efectiva posesión por parte de la actora, quien -según su relato- nunca abonó el precio real del inmueble, no realizó mejoras ni tomó contacto material con la vivienda, extremos que se verían confirmados no sólo por la prueba que el a quo omitió valorar, sino incluso por la escasa y débil prueba producida por la actora.-</w:t>
      </w:r>
    </w:p>
    <w:p>
      <w:pPr>
        <w:pStyle w:val="[Normal]"/>
        <w:spacing w:line="360" w:lineRule="auto"/>
        <w:ind w:firstLine="1134"/>
        <w:jc w:val="both"/>
        <w:rPr>
          <w:lang w:val="es-AR" w:eastAsia="es-AR" w:bidi="es-AR"/>
        </w:rPr>
      </w:pPr>
      <w:r>
        <w:rPr>
          <w:lang w:val="es-AR" w:eastAsia="es-AR" w:bidi="es-AR"/>
        </w:rPr>
        <w:t xml:space="preserve">Destaca que el delegado comunal del pueblo, el Sr. Cresimbeni, desconocía a la actora, y que los testigos de esta última carecían de conocimiento directo del inmueble o brindaron versiones imprecisas, como una presunta amiga cuya relación no fue debidamente acreditada y un supuesto electricista que habría cambiado un enchufe en una única ocasión.-</w:t>
      </w:r>
    </w:p>
    <w:p>
      <w:pPr>
        <w:pStyle w:val="[Normal]"/>
        <w:spacing w:line="360" w:lineRule="auto"/>
        <w:ind w:firstLine="1134"/>
        <w:jc w:val="both"/>
        <w:rPr>
          <w:lang w:val="es-AR" w:eastAsia="es-AR" w:bidi="es-AR"/>
        </w:rPr>
      </w:pPr>
      <w:r>
        <w:rPr>
          <w:lang w:val="es-AR" w:eastAsia="es-AR" w:bidi="es-AR"/>
        </w:rPr>
        <w:t xml:space="preserve">Critica la falta de contestación de un oficio dirigido a la escribana Laurente, lo cual habría privado a su parte de incorporar un elemento probatorio clave en relación a la celebración de la escritura y sus circunstancias, afectando gravemente el derecho de defensa cuando que dicho instrumento fue tomado como eje central del razonamiento del juzgador.-</w:t>
      </w:r>
    </w:p>
    <w:p>
      <w:pPr>
        <w:pStyle w:val="[Normal]"/>
        <w:spacing w:line="360" w:lineRule="auto"/>
        <w:ind w:firstLine="1134"/>
        <w:jc w:val="both"/>
        <w:rPr>
          <w:lang w:val="es-AR" w:eastAsia="es-AR" w:bidi="es-AR"/>
        </w:rPr>
      </w:pPr>
      <w:r>
        <w:rPr>
          <w:lang w:val="es-AR" w:eastAsia="es-AR" w:bidi="es-AR"/>
        </w:rPr>
        <w:t xml:space="preserve">Finalmente, sostiene que el pronunciamiento recurrido es arbitrario, irrazonable y debe ser revocado en su totalidad.-</w:t>
      </w:r>
    </w:p>
    <w:p>
      <w:pPr>
        <w:pStyle w:val="[Normal]"/>
        <w:spacing w:line="360" w:lineRule="auto"/>
        <w:ind w:firstLine="1134"/>
        <w:jc w:val="both"/>
        <w:rPr>
          <w:lang w:val="es-AR" w:eastAsia="es-AR" w:bidi="es-AR"/>
        </w:rPr>
      </w:pPr>
      <w:r>
        <w:rPr>
          <w:lang w:val="es-AR" w:eastAsia="es-AR" w:bidi="es-AR"/>
        </w:rPr>
        <w:t xml:space="preserve">Al contestar los traslados de los agravios de la demandada y el tercero citado, la actora rebate los argumentos expuestos y solicita se confirme la sentencia atacada.-</w:t>
      </w:r>
    </w:p>
    <w:p>
      <w:pPr>
        <w:pStyle w:val="[Normal]"/>
        <w:spacing w:line="360" w:lineRule="auto"/>
        <w:ind w:firstLine="1134"/>
        <w:jc w:val="both"/>
        <w:rPr>
          <w:lang w:val="es-AR" w:eastAsia="es-AR" w:bidi="es-AR"/>
        </w:rPr>
      </w:pPr>
      <w:r>
        <w:rPr>
          <w:lang w:val="es-AR" w:eastAsia="es-AR" w:bidi="es-AR"/>
        </w:rPr>
        <w:t xml:space="preserve">Entrando a resolver, adelanto que los recursos de apelación entablados tanto por la demandada como por el tercero citado deben prosperar.</w:t>
      </w:r>
    </w:p>
    <w:p>
      <w:pPr>
        <w:pStyle w:val="[Normal]"/>
        <w:spacing w:line="360" w:lineRule="auto"/>
        <w:ind w:firstLine="1134"/>
        <w:jc w:val="both"/>
        <w:rPr>
          <w:lang w:val="es-AR" w:eastAsia="es-AR" w:bidi="es-AR"/>
        </w:rPr>
      </w:pPr>
      <w:r>
        <w:rPr>
          <w:lang w:val="es-AR" w:eastAsia="es-AR" w:bidi="es-AR"/>
        </w:rPr>
        <w:t xml:space="preserve">Ello, así comienzo encuadrar jurídicamente la materia debatida en autos. </w:t>
      </w:r>
    </w:p>
    <w:p>
      <w:pPr>
        <w:pStyle w:val="[Normal]"/>
        <w:spacing w:line="360" w:lineRule="auto"/>
        <w:ind w:firstLine="1134"/>
        <w:jc w:val="both"/>
        <w:rPr>
          <w:i/>
          <w:lang w:val="es-AR" w:eastAsia="es-AR" w:bidi="es-AR"/>
        </w:rPr>
      </w:pPr>
      <w:r>
        <w:rPr>
          <w:lang w:val="es-AR" w:eastAsia="es-AR" w:bidi="es-AR"/>
        </w:rPr>
        <w:t xml:space="preserve">Para ello he de referirme a un antecedente de esta Alzada  (causa “Batalla Susana del Luján y otros c/ Castañares Miguel Angel y otros s/ Acción de Despojo" N° 3431-18 RSD 69/2019 del 13-6-2019) en la cual se sostuvo que  “</w:t>
      </w:r>
      <w:r>
        <w:rPr>
          <w:i/>
          <w:lang w:val="es-AR" w:eastAsia="es-AR" w:bidi="es-AR"/>
        </w:rPr>
        <w:t xml:space="preserve">...en su meta de simplificar la regulación de las acciones posesorias, el Código Civil y Comercial concede solamente una acción frente al desapoderamiento (art. 2241), que puede ser ejercida por todo tenedor o poseedor sobre una cosa o una universalidad de hecho, contra el despojante, aunque sea el dueño, sus herederos y sucesores particulares de mala fe (cf. HERRERA, Marisa - CARAMELO, Gustavo - PICASSO, Sebastián, Código Civil y Comercial de la Nación Comentado, Tomo IV. Publicado en el sitio oficial http://www.saij.gob.ar del Ministerio de Justicia y Derechos Humanos de Presidencia de la Nación)."</w:t>
      </w:r>
    </w:p>
    <w:p>
      <w:pPr>
        <w:pStyle w:val="[Normal]"/>
        <w:spacing w:line="360" w:lineRule="auto"/>
        <w:ind w:firstLine="1134"/>
        <w:jc w:val="both"/>
        <w:rPr>
          <w:i/>
          <w:lang w:val="es-AR" w:eastAsia="es-AR" w:bidi="es-AR"/>
        </w:rPr>
      </w:pPr>
      <w:r>
        <w:rPr>
          <w:i/>
          <w:lang w:val="es-AR" w:eastAsia="es-AR" w:bidi="es-AR"/>
        </w:rPr>
        <w:t xml:space="preserve">"El interdicto de recobrar es la pretensión procesal -mediante la cual se incardina actualmente la referida acción sustancial de despojo, en cuya virtud el poseedor o tenedor de un bien mueble o inmueble del cual ha sido total o parcialmente despojado requiere judicialmente que se le restituya la posesión o la tenencia perdidas (cf. Palacio, Lino E., Derecho Procesal Civil, Abeledo Perrot, 2ª ed. act. por Carlos E. Camps, Bs. As., 2011, T. VII, pág. 22)."</w:t>
      </w:r>
    </w:p>
    <w:p>
      <w:pPr>
        <w:pStyle w:val="[Normal]"/>
        <w:spacing w:line="360" w:lineRule="auto"/>
        <w:ind w:firstLine="1134"/>
        <w:jc w:val="both"/>
        <w:rPr>
          <w:i/>
          <w:lang w:val="es-AR" w:eastAsia="es-AR" w:bidi="es-AR"/>
        </w:rPr>
      </w:pPr>
      <w:r>
        <w:rPr>
          <w:i/>
          <w:lang w:val="es-AR" w:eastAsia="es-AR" w:bidi="es-AR"/>
        </w:rPr>
        <w:t xml:space="preserve">"Los recaudos de procedencia del interdicto aludido, están previstos en el art. 608 de nuestro código ritual, el que determina como requisitos que: 1) quien lo intente, o su causante, hubiere tenido la posesión actual o la tenencia de un bien mueble o inmueble; 2) que hubiere sido despojado."</w:t>
      </w:r>
    </w:p>
    <w:p>
      <w:pPr>
        <w:pStyle w:val="[Normal]"/>
        <w:spacing w:line="360" w:lineRule="auto"/>
        <w:ind w:firstLine="1134"/>
        <w:jc w:val="both"/>
        <w:rPr>
          <w:i/>
          <w:lang w:val="es-AR" w:eastAsia="es-AR" w:bidi="es-AR"/>
        </w:rPr>
      </w:pPr>
      <w:r>
        <w:rPr>
          <w:i/>
          <w:lang w:val="es-AR" w:eastAsia="es-AR" w:bidi="es-AR"/>
        </w:rPr>
        <w:t xml:space="preserve">"La finalidad del interdicto de recobrar es entonces “impedir la alteración del orden establecido, determinando la preexistencia de posesión por parte de los peticionantes. Ello así porque con el interdicto de recobrar se busca proteger la posesión como mero hecho y no el derecho a la posesión, por lo que el juez no ha de valorar la preferencia que otorga el título de dominio sino la circunstancia fáctica de encontrarse quien lo promueve en el inmueble con anterioridad al </w:t>
      </w:r>
      <w:r>
        <w:rPr>
          <w:lang w:val="es-AR" w:eastAsia="es-AR" w:bidi="es-AR"/>
        </w:rPr>
        <w:t xml:space="preserve">despojo</w:t>
      </w:r>
      <w:r>
        <w:rPr>
          <w:i/>
          <w:lang w:val="es-AR" w:eastAsia="es-AR" w:bidi="es-AR"/>
        </w:rPr>
        <w:t xml:space="preserve">(Cámara de Apelaciones en lo Civil y Comercial de Azul, Sala II, "Yapour, Rodolfo c/ Urrutia, Regina y otro/a s/ Interdicto", CC0002 AZ 61985 S, 20/12/2018); Fenochietto, Carlos Eduardo “Código Procesal Civil y Comercial de la Provincia de Buenos Aires”, 3ra edición actualizada, 1996, Ediciones La Rocca, pág. 586)."</w:t>
      </w:r>
    </w:p>
    <w:p>
      <w:pPr>
        <w:pStyle w:val="[Normal]"/>
        <w:spacing w:line="360" w:lineRule="auto"/>
        <w:ind w:firstLine="1134"/>
        <w:jc w:val="both"/>
        <w:rPr>
          <w:lang w:val="es-AR" w:eastAsia="es-AR" w:bidi="es-AR"/>
        </w:rPr>
      </w:pPr>
      <w:r>
        <w:rPr>
          <w:i/>
          <w:lang w:val="es-AR" w:eastAsia="es-AR" w:bidi="es-AR"/>
        </w:rPr>
        <w:t xml:space="preserve">"Es que, como lo tiene dicho la Suprema Corte, “el interdicto de recobrar es en concreto un remedio policial, urgente y sumario, dado a favor de quien se encuentra en posesión de un inmueble -o tenencia- con o sin derecho a tenerla y cualquiera sea el tiempo de duración y origen, contra el que por sí y ante sí, la turbe con violencia o clandestinidad. No constituye una acción posesoria propiamente dicha, ni una acción real fundada en una presunción de propiedad, sino una disposición de orden público tendiente a prevenir la violencia y el atentado de hacerse justicia por sí mismo, tratándose de un medio expeditivo ideado para suprimir las vías de hecho (SCBA, Ac 86631, “Veloso Adolfo...”, del 16/02/2005; en igual sentido, esta Sala, causa cit. “Gallo”, y causa n° 56.175, “Lemma, Luis Alberto...”, del 07/02/12)</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Dicho ello, corresponde me aboque al análisis de la cuestión fáctica vinculada a la efectiva posesión del inmueble por parte de la actora al momento en que se habría producido el desapoderamiento alegado.-</w:t>
      </w:r>
    </w:p>
    <w:p>
      <w:pPr>
        <w:pStyle w:val="[Normal]"/>
        <w:spacing w:line="360" w:lineRule="auto"/>
        <w:ind w:firstLine="1134"/>
        <w:jc w:val="both"/>
        <w:rPr>
          <w:lang w:val="es-AR" w:eastAsia="es-AR" w:bidi="es-AR"/>
        </w:rPr>
      </w:pPr>
      <w:r>
        <w:rPr>
          <w:lang w:val="es-AR" w:eastAsia="es-AR" w:bidi="es-AR"/>
        </w:rPr>
        <w:t xml:space="preserve">El CCyC determina en su artículo 1909 "</w:t>
      </w:r>
      <w:r>
        <w:rPr>
          <w:i/>
          <w:lang w:val="es-AR" w:eastAsia="es-AR" w:bidi="es-AR"/>
        </w:rPr>
        <w:t xml:space="preserve">Hay posesión cuando una persona, por sí o por medio de otra, ejerce un poder de hecho sobre una cosa comportándose como titular de un derecho real, lo sea o no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Del mencionado artículo se puede inferir que la posesión tiene dos elementos el corpus y el animus. El corpus es el elemento objetivo de la posesión. Supone, pues, el despliegue de un poder de disposición física sobre la cosa, y como tal debe ser querido. El animus por su parte refleja el componente subjetivo. La última parte del artículo lo señala en estos términos: “… comportándose como titular de un derecho real, lo sea o no”. Ese “comportarse” con relación a la cosa como si fuera titular de un derecho real, aunque pueda no serlo, supone una voluntad exteriorizada. (conf. Herrera-Caramelo- Picasso “Codigo Civil y Comercial de la Nación Comentado”, Edit. Infojus año 2022, Tomo lV, comentario artículo 1909 página 42).-</w:t>
      </w:r>
    </w:p>
    <w:p>
      <w:pPr>
        <w:pStyle w:val="[Normal]"/>
        <w:spacing w:line="360" w:lineRule="auto"/>
        <w:ind w:firstLine="1134"/>
        <w:jc w:val="both"/>
        <w:rPr>
          <w:lang w:val="es-AR" w:eastAsia="es-AR" w:bidi="es-AR"/>
        </w:rPr>
      </w:pPr>
      <w:r>
        <w:rPr>
          <w:lang w:val="es-AR" w:eastAsia="es-AR" w:bidi="es-AR"/>
        </w:rPr>
        <w:t xml:space="preserve">Así, de la prueba producida en autos no surge que la actora haya tenido la posesión del bien al momento del desapoderamiento.-</w:t>
      </w:r>
    </w:p>
    <w:p>
      <w:pPr>
        <w:pStyle w:val="[Normal]"/>
        <w:spacing w:line="360" w:lineRule="auto"/>
        <w:ind w:firstLine="1134"/>
        <w:jc w:val="both"/>
        <w:rPr>
          <w:lang w:val="es-AR" w:eastAsia="es-AR" w:bidi="es-AR"/>
        </w:rPr>
      </w:pPr>
      <w:r>
        <w:rPr>
          <w:lang w:val="es-AR" w:eastAsia="es-AR" w:bidi="es-AR"/>
        </w:rPr>
        <w:t xml:space="preserve">Ello se ve reflejado en el déficit probatorio de la señora Moreira que no acompaña ningún tipo de comprobantes de acto posesorio realizado en el lugar.-</w:t>
      </w:r>
    </w:p>
    <w:p>
      <w:pPr>
        <w:pStyle w:val="[Normal]"/>
        <w:spacing w:line="360" w:lineRule="auto"/>
        <w:ind w:firstLine="1134"/>
        <w:jc w:val="both"/>
        <w:rPr>
          <w:lang w:val="es-AR" w:eastAsia="es-AR" w:bidi="es-AR"/>
        </w:rPr>
      </w:pPr>
      <w:r>
        <w:rPr>
          <w:lang w:val="es-AR" w:eastAsia="es-AR" w:bidi="es-AR"/>
        </w:rPr>
        <w:t xml:space="preserve">Al respecto, debe tenerse presente que el art. 1928 del CCyC establece un conjunto de actos enumerados y que si bien dicha enumeración no es taxativa, hace referencia a que los actos posesorios deben ser de ocupación o de exclusión de terceros, y debo reiterar, que no hay prueba actoral que demuestre ello.-</w:t>
      </w:r>
    </w:p>
    <w:p>
      <w:pPr>
        <w:pStyle w:val="[Normal]"/>
        <w:spacing w:line="360" w:lineRule="auto"/>
        <w:ind w:firstLine="1134"/>
        <w:jc w:val="both"/>
        <w:rPr>
          <w:lang w:val="es-AR" w:eastAsia="es-AR" w:bidi="es-AR"/>
        </w:rPr>
      </w:pPr>
      <w:r>
        <w:rPr>
          <w:lang w:val="es-AR" w:eastAsia="es-AR" w:bidi="es-AR"/>
        </w:rPr>
        <w:t xml:space="preserve">Toda la evidencia en la que se apoya el reclamo de Moreira es una cesión de acciones y derechos posesorios del año 2020, pago de impuestos y declaraciones testimoniales, prueba que pasaré a analizar.-</w:t>
      </w:r>
    </w:p>
    <w:p>
      <w:pPr>
        <w:pStyle w:val="[Normal]"/>
        <w:spacing w:line="360" w:lineRule="auto"/>
        <w:ind w:firstLine="1134"/>
        <w:jc w:val="both"/>
        <w:rPr>
          <w:i/>
          <w:lang w:val="es-AR" w:eastAsia="es-AR" w:bidi="es-AR"/>
        </w:rPr>
      </w:pPr>
      <w:r>
        <w:rPr>
          <w:lang w:val="es-AR" w:eastAsia="es-AR" w:bidi="es-AR"/>
        </w:rPr>
        <w:t xml:space="preserve">Respecto de la cesión de acciones y derechos posesorios realizada por escritura pública entre Moreira y Bonavita en el año 2020 cuadra recordar que he señalado anteriormente en el voto 5370-24 que </w:t>
      </w:r>
      <w:r>
        <w:rPr>
          <w:i/>
          <w:lang w:val="es-AR" w:eastAsia="es-AR" w:bidi="es-AR"/>
        </w:rPr>
        <w:t xml:space="preserve">"...si bien las escrituras arrimadas resultan ser instrumentos públicos, es sabido que el notario da fe sólo del acto acontecido en su presencia y no de las afirmaciones y apreciaciones de los comparecientes, lo cual no significa -como se adelantara- que los contratos celebrados no sean idóneos a los efectos de la accesión de las posesiones sino que no son hábiles para probar la posesión en sí mismos, que requiere de actos materiales (art. 296 C.C.yC. y su doctrina)".-</w:t>
      </w:r>
    </w:p>
    <w:p>
      <w:pPr>
        <w:pStyle w:val="[Normal]"/>
        <w:spacing w:line="360" w:lineRule="auto"/>
        <w:ind w:firstLine="1134"/>
        <w:jc w:val="both"/>
        <w:rPr>
          <w:lang w:val="es-AR" w:eastAsia="es-AR" w:bidi="es-AR"/>
        </w:rPr>
      </w:pPr>
      <w:r>
        <w:rPr>
          <w:lang w:val="es-AR" w:eastAsia="es-AR" w:bidi="es-AR"/>
        </w:rPr>
        <w:t xml:space="preserve">Continuando con este análisis, de los testimonios aportados por la actora, por un lado las testigos Dominguez y Lapeloza dicen ser amiga y conocida de Moreira, respectivamente, ambas refieren que la actora refaccionó la propiedad, construyó tapiales y alambrados y colocó plantas y árboles y el Sr. Imbesi de profesión electricista afirma haber realizados trabajos para Moreira en la casa objeto de autos.-</w:t>
      </w:r>
    </w:p>
    <w:p>
      <w:pPr>
        <w:pStyle w:val="[Normal]"/>
        <w:spacing w:line="360" w:lineRule="auto"/>
        <w:ind w:firstLine="1134"/>
        <w:jc w:val="both"/>
        <w:rPr>
          <w:lang w:val="es-AR" w:eastAsia="es-AR" w:bidi="es-AR"/>
        </w:rPr>
      </w:pPr>
      <w:r>
        <w:rPr>
          <w:lang w:val="es-AR" w:eastAsia="es-AR" w:bidi="es-AR"/>
        </w:rPr>
        <w:t xml:space="preserve">Sin embargo, las declaraciones testimoniales resultan insuficientes por sí solas para demostrar la existencia de la posesión del bien a título de dueño. Pues, se requiere su corroboración por otros medios de convicción en tal sentido (CC0002 SM 72134 RSD-224/18 S 13/09/2018 JUBA B2005674)</w:t>
      </w:r>
    </w:p>
    <w:p>
      <w:pPr>
        <w:pStyle w:val="[Normal]"/>
        <w:spacing w:line="360" w:lineRule="auto"/>
        <w:ind w:firstLine="1134"/>
        <w:jc w:val="both"/>
        <w:rPr>
          <w:lang w:val="es-AR" w:eastAsia="es-AR" w:bidi="es-AR"/>
        </w:rPr>
      </w:pPr>
      <w:r>
        <w:rPr>
          <w:lang w:val="es-AR" w:eastAsia="es-AR" w:bidi="es-AR"/>
        </w:rPr>
        <w:t xml:space="preserve">En esta tónica, no se han producido otros medios probatorios que puedan corroborar lo manifestado por los testigos ofrecidos, por lo que la prueba testimonial sin documentación adjunta (compra de materiales de construcción, pago de trabajos de albañilería, limpieza del terreno, entre otros) no alcanza para configurar la prueba de la posesión exigida.-</w:t>
      </w:r>
    </w:p>
    <w:p>
      <w:pPr>
        <w:pStyle w:val="[Normal]"/>
        <w:spacing w:line="360" w:lineRule="auto"/>
        <w:ind w:firstLine="1134"/>
        <w:jc w:val="both"/>
        <w:rPr>
          <w:lang w:val="es-AR" w:eastAsia="es-AR" w:bidi="es-AR"/>
        </w:rPr>
      </w:pPr>
      <w:r>
        <w:rPr>
          <w:lang w:val="es-AR" w:eastAsia="es-AR" w:bidi="es-AR"/>
        </w:rPr>
        <w:t xml:space="preserve">Además, y como he hecho referencia más arriba también acompaña 8 comprobantes de pago de impuestos inmobiliarios (entre 2010 y 2016), 43 facturas de luz (entre 2012 y 2019), 30 recibos de Tasa de Limpieza (2008 a 2017) y 5 Tasas de Alumbrado Público (2010 a 2013).-</w:t>
      </w:r>
    </w:p>
    <w:p>
      <w:pPr>
        <w:pStyle w:val="[Normal]"/>
        <w:spacing w:line="360" w:lineRule="auto"/>
        <w:ind w:firstLine="1134"/>
        <w:jc w:val="both"/>
        <w:rPr>
          <w:lang w:val="es-AR" w:eastAsia="es-AR" w:bidi="es-AR"/>
        </w:rPr>
      </w:pPr>
      <w:r>
        <w:rPr>
          <w:lang w:val="es-AR" w:eastAsia="es-AR" w:bidi="es-AR"/>
        </w:rPr>
        <w:t xml:space="preserve">Debo resaltar que por las fechas de pago de dichos impuestos y tasas, se aprecia que todas las erogaciones las hizo el anterior poseedor, pero no consta ningún pago hecho con posterioridad al año 2020, es decir, luego de la cesión de acciones y derechos posesorios tiempo en que la actora habría tomado posesión del inmueble.-</w:t>
      </w:r>
    </w:p>
    <w:p>
      <w:pPr>
        <w:pStyle w:val="[Normal]"/>
        <w:spacing w:line="360" w:lineRule="auto"/>
        <w:ind w:firstLine="1134"/>
        <w:jc w:val="both"/>
        <w:rPr>
          <w:lang w:val="es-AR" w:eastAsia="es-AR" w:bidi="es-AR"/>
        </w:rPr>
      </w:pPr>
      <w:r>
        <w:rPr>
          <w:lang w:val="es-AR" w:eastAsia="es-AR" w:bidi="es-AR"/>
        </w:rPr>
        <w:t xml:space="preserve">De igual modo, si bien estos elementos son demostrativos del "animus" posesorio, sólo cumplen esta función cuando se presentan acompañados por la detentación material del inmueble; por sí solos no son demostrativos de tal detentación y nada indican respecto a la real situación posesoria en que se encuentra el bien.-</w:t>
      </w:r>
    </w:p>
    <w:p>
      <w:pPr>
        <w:pStyle w:val="[Normal]"/>
        <w:spacing w:line="360" w:lineRule="auto"/>
        <w:ind w:firstLine="1134"/>
        <w:jc w:val="both"/>
        <w:rPr>
          <w:lang w:val="es-AR" w:eastAsia="es-AR" w:bidi="es-AR"/>
        </w:rPr>
      </w:pPr>
      <w:r>
        <w:rPr>
          <w:lang w:val="es-AR" w:eastAsia="es-AR" w:bidi="es-AR"/>
        </w:rPr>
        <w:t xml:space="preserve">Por lo tanto, no cabe asignar el carácter de acto posesorio al pago de impuestos, pues por sí solo no revela el contacto con la cosa, en especial su apoderamiento (CC0002 AZ 61985 S 20/12/2018 JUBA B5054153).-</w:t>
      </w:r>
    </w:p>
    <w:p>
      <w:pPr>
        <w:pStyle w:val="[Normal]"/>
        <w:spacing w:line="360" w:lineRule="auto"/>
        <w:ind w:firstLine="1134"/>
        <w:jc w:val="both"/>
        <w:rPr>
          <w:lang w:val="es-AR" w:eastAsia="es-AR" w:bidi="es-AR"/>
        </w:rPr>
      </w:pPr>
      <w:r>
        <w:rPr>
          <w:lang w:val="es-AR" w:eastAsia="es-AR" w:bidi="es-AR"/>
        </w:rPr>
        <w:t xml:space="preserve">A mayor abundamiento, el análisis particular y global de la prueba producida en autos debe ser complementado a todo evento con una regla hermenéutica específica que fluye del art. 2243 del CCyC: "</w:t>
      </w:r>
      <w:r>
        <w:rPr>
          <w:i/>
          <w:lang w:val="es-AR" w:eastAsia="es-AR" w:bidi="es-AR"/>
        </w:rPr>
        <w:t xml:space="preserve">Prueba. Si es dudoso quién ejerce la relación de poder al tiempo de la lesión, se considera que la tiene quien acredita estar en contacto con la cosa en la fecha, más próxima a la lesión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acuerdo al referido principio, la carga de la prueba de la posesión pesa sobre el actor, lo cual armoniza con las disposiciones generales del Código Procesal y con las propias del ámbito posesorio, conforme a las cuales el demandado posee o tiene la cosa sin tener nada que probar (art. 1917). Por tal motivo, cuando la situación sea dudosa y no se acredite claramente quién ejercía la relación de poder en el momento de la lesión, deberá resolverse en favor de quien se encuentre en contacto con la cosa (ver. LORENZETTI, Ricardo Luis, Código Civil y Comercial de la Nación Comentado, Tomo X, Santa Fe, Ed. Rubinzal Culzoni, 2015, pag. 270).</w:t>
      </w:r>
    </w:p>
    <w:p>
      <w:pPr>
        <w:pStyle w:val="[Normal]"/>
        <w:spacing w:line="360" w:lineRule="auto"/>
        <w:ind w:firstLine="1134"/>
        <w:jc w:val="both"/>
        <w:rPr>
          <w:lang w:val="es-AR" w:eastAsia="es-AR" w:bidi="es-AR"/>
        </w:rPr>
      </w:pPr>
      <w:r>
        <w:rPr>
          <w:lang w:val="es-AR" w:eastAsia="es-AR" w:bidi="es-AR"/>
        </w:rPr>
        <w:t xml:space="preserve">Trasladando estas consideraciones al caso de autos, puedo observar que no sólo la prueba producida resulta demostrativa de la ocupación material del inmueble por el demandado, sino que además es el propio actor en su demanda quien reconoce el contacto que la demandada tiene con la cosa: "</w:t>
      </w:r>
      <w:r>
        <w:rPr>
          <w:i/>
          <w:lang w:val="es-AR" w:eastAsia="es-AR" w:bidi="es-AR"/>
        </w:rPr>
        <w:t xml:space="preserve">Que en el mes de enero de 2023  mi parte se hizo presente en el inmueble entendiéndose con la Sra. Cristina del Valle Martínez quien manifestó haber adquirido el inmueble a un Sr. de apellido Balmaceda, sin poder exhibir recibo, boleto ni escritura</w:t>
      </w:r>
      <w:r>
        <w:rPr>
          <w:lang w:val="es-AR" w:eastAsia="es-AR" w:bidi="es-AR"/>
        </w:rPr>
        <w:t xml:space="preserv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Con todo, y aún cuando hipotéticamente quedase un resquicio de duda respecto a la falta de posesión del accionante sobre el inmueble de referencia, la situación debería resolverse en favor del demandado por imperio del art. 2273 del CCyC.</w:t>
      </w:r>
    </w:p>
    <w:p>
      <w:pPr>
        <w:pStyle w:val="[Normal]"/>
        <w:spacing w:line="360" w:lineRule="auto"/>
        <w:ind w:firstLine="1134"/>
        <w:jc w:val="both"/>
        <w:rPr>
          <w:lang w:val="es-AR" w:eastAsia="es-AR" w:bidi="es-AR"/>
        </w:rPr>
      </w:pPr>
      <w:r>
        <w:rPr>
          <w:lang w:val="es-AR" w:eastAsia="es-AR" w:bidi="es-AR"/>
        </w:rPr>
        <w:t xml:space="preserve">Por lo tanto, en razón de que la señora Moreira no pudo demostrar que detentaba la posesión (actual) sobre el inmueble al momento del desapoderamiento no me deja otra alternativa que proponer al Acuerdo la revocación la sentencia de grado y el consecuente rechazo de la demanda incoada por la parte actora, imponiéndole las costas de ambas instancias por resultar vencida (Art.68/9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 los recursos de apelación deducidos por la demandada y el tercero citado, y en su mérito, revocar en todas sus partes la sentencia de primera instancia, rechazando la demanda entablada por la parte actora.</w:t>
      </w:r>
    </w:p>
    <w:p>
      <w:pPr>
        <w:pStyle w:val="[Normal]"/>
        <w:spacing w:line="360" w:lineRule="auto"/>
        <w:ind w:firstLine="1134"/>
        <w:jc w:val="both"/>
        <w:rPr>
          <w:lang w:val="es-AR" w:eastAsia="es-AR" w:bidi="es-AR"/>
        </w:rPr>
      </w:pPr>
      <w:r>
        <w:rPr>
          <w:lang w:val="es-AR" w:eastAsia="es-AR" w:bidi="es-AR"/>
        </w:rPr>
        <w:t xml:space="preserve">Imponer las costas de ambas instancias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 los recursos de apelación deducidos por la demandada y el tercero citado, y en su mérito, revocar en todas sus partes la sentencia de primera instancia, rechazando la demanda entablada por la parte actora.-</w:t>
      </w:r>
    </w:p>
    <w:p>
      <w:pPr>
        <w:pStyle w:val="[Normal]"/>
        <w:spacing w:line="360" w:lineRule="auto"/>
        <w:ind w:firstLine="1134"/>
        <w:jc w:val="both"/>
        <w:rPr>
          <w:lang w:val="es-AR" w:eastAsia="es-AR" w:bidi="es-AR"/>
        </w:rPr>
      </w:pPr>
      <w:r>
        <w:rPr>
          <w:lang w:val="es-AR" w:eastAsia="es-AR" w:bidi="es-AR"/>
        </w:rPr>
        <w:t xml:space="preserve">Imponer las costas de ambas instancias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28/08/2025 10:18:27 -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28/08/2025 10:38:45 -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28/08/2025 11:14:23 -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‰7]")è&amp;Z)5dŠ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236102090006580921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28/08/2025 11:14:43 hs. bajo el número RS-113-2025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