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5683-25</w:t>
      </w:r>
      <w:r>
        <w:rPr>
          <w:lang w:val="es-AR" w:eastAsia="es-AR" w:bidi="es-AR"/>
        </w:rPr>
        <w:t xml:space="preserve"> caratulada </w:t>
      </w:r>
      <w:r>
        <w:rPr>
          <w:b/>
          <w:lang w:val="es-AR" w:eastAsia="es-AR" w:bidi="es-AR"/>
        </w:rPr>
        <w:t xml:space="preserve">"</w:t>
      </w:r>
      <w:r>
        <w:rPr>
          <w:b/>
          <w:color w:val="000000"/>
          <w:lang w:val="es-AR" w:eastAsia="es-AR" w:bidi="es-AR"/>
        </w:rPr>
        <w:t xml:space="preserve">P.L.S C/ F.G.O Y OTROS/AS S/ ALIMENTOS (PROGENITOR Y ABUELOS)</w:t>
      </w:r>
      <w:r>
        <w:rPr>
          <w:b/>
          <w:lang w:val="es-AR" w:eastAsia="es-AR" w:bidi="es-AR"/>
        </w:rPr>
        <w:t xml:space="preserve">"</w:t>
      </w:r>
      <w:r>
        <w:rPr>
          <w:lang w:val="es-AR" w:eastAsia="es-AR" w:bidi="es-AR"/>
        </w:rPr>
        <w:t xml:space="preserve">, Expte. N° 26327</w:t>
      </w:r>
      <w:r>
        <w:rPr>
          <w:color w:val="000000"/>
          <w:lang w:val="es-AR" w:eastAsia="es-AR" w:bidi="es-AR"/>
        </w:rPr>
        <w:t xml:space="preserve"> </w:t>
      </w:r>
      <w:r>
        <w:rPr>
          <w:lang w:val="es-AR" w:eastAsia="es-AR" w:bidi="es-AR"/>
        </w:rPr>
        <w:t xml:space="preserve">del Juzgado de Familia N° 1,se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hizo lugar a la demanda promovida por la Sra. L.S.P y fijó  como  cuota alimentaria que deberá abonar el demandado Sr. G.O.F en favor de sus hijos L.A.F  y F.J.F. en la suma mensual de pesos ciento sesenta mil  ($160.000), $80.000 para cada uno de ellos. Asimismo hizo extensiva la obligación alimentaria en forma subsidiaria a los abuelos paternos, Sra. E.B.B y Sr. O.E.F quienes responderán en caso de incumplimiento del progenitor. Dispuso que dicha suma a partir de la presente por el incumplimiento en el plazo previsto devengarán una tasa de interés (activa) equivalente a la más alta que cobra el Banco de la Provincia de Buenos Aires y difirió la fijación de cuota suplementaria para atender las cuotas alimentarias atrasadas desde la fecha de interposición de la demanda hasta el presente. Estableció que los intereses devengados en concepto de alimentos atrasados con posterioridad a la presente sentencia se liquiden según las pautas establecidas en el punto VII de los considerandos. Finalmente, impuso las costas a los demandados vencidos y reguló los honorarios profesionales.</w:t>
      </w:r>
    </w:p>
    <w:p>
      <w:pPr>
        <w:pStyle w:val="[Normal]"/>
        <w:spacing w:line="360" w:lineRule="auto"/>
        <w:ind w:firstLine="1134"/>
        <w:jc w:val="both"/>
        <w:rPr>
          <w:lang w:val="es-AR" w:eastAsia="es-AR" w:bidi="es-AR"/>
        </w:rPr>
      </w:pPr>
      <w:r>
        <w:rPr>
          <w:lang w:val="es-AR" w:eastAsia="es-AR" w:bidi="es-AR"/>
        </w:rPr>
        <w:t xml:space="preserve">En disconformidad con lo resuelto apelan la parte actora el 28-03-2025 y la demandada el 30-03-2025, concedidos los recursos en relación el 1-04-2025, fundándolos el 14-04-2025 y 9-04-2025, respectivamente, y conferidos los traslados los mismos  fueron contestados ambos el 29-04-2025, dándose vista a la Asesora de Incapaces el 9-5-2025 quien evacua la misma el 12-05-2025.</w:t>
      </w:r>
    </w:p>
    <w:p>
      <w:pPr>
        <w:pStyle w:val="[Normal]"/>
        <w:spacing w:line="360" w:lineRule="auto"/>
        <w:ind w:firstLine="1134"/>
        <w:jc w:val="both"/>
        <w:rPr>
          <w:lang w:val="es-AR" w:eastAsia="es-AR" w:bidi="es-AR"/>
        </w:rPr>
      </w:pPr>
      <w:r>
        <w:rPr>
          <w:lang w:val="es-AR" w:eastAsia="es-AR" w:bidi="es-AR"/>
        </w:rPr>
        <w:t xml:space="preserve">Ingresados los autos a esta Alzada, se dicta el llamamiento de autos, providencia que, firme a la fecha deja la causa en condiciones de ser tratada.</w:t>
      </w:r>
    </w:p>
    <w:p>
      <w:pPr>
        <w:pStyle w:val="[Normal]"/>
        <w:spacing w:line="360" w:lineRule="auto"/>
        <w:ind w:firstLine="1134"/>
        <w:jc w:val="both"/>
        <w:rPr>
          <w:lang w:val="es-AR" w:eastAsia="es-AR" w:bidi="es-AR"/>
        </w:rPr>
      </w:pPr>
      <w:r>
        <w:rPr>
          <w:lang w:val="es-AR" w:eastAsia="es-AR" w:bidi="es-AR"/>
        </w:rPr>
        <w:t xml:space="preserve">La actora se agravia principalmente del monto fijado en concepto de alimentos -$160.000 en total, $80.000 por hijo- por considerarlo arbitrario, desajustado a derecho y carente de adecuada valoración probatoria. </w:t>
      </w:r>
    </w:p>
    <w:p>
      <w:pPr>
        <w:pStyle w:val="[Normal]"/>
        <w:spacing w:line="360" w:lineRule="auto"/>
        <w:ind w:firstLine="1134"/>
        <w:jc w:val="both"/>
        <w:rPr>
          <w:lang w:val="es-AR" w:eastAsia="es-AR" w:bidi="es-AR"/>
        </w:rPr>
      </w:pPr>
      <w:r>
        <w:rPr>
          <w:lang w:val="es-AR" w:eastAsia="es-AR" w:bidi="es-AR"/>
        </w:rPr>
        <w:t xml:space="preserve">Señala que el progenitor ocultó intencionalmente su verdadera capacidad económica ya que al momento del inicio del proceso tenía ingresos elevados y bienes registrables y que luego simuló una merma considerable en su capacidad económica. </w:t>
      </w:r>
    </w:p>
    <w:p>
      <w:pPr>
        <w:pStyle w:val="[Normal]"/>
        <w:spacing w:line="360" w:lineRule="auto"/>
        <w:ind w:firstLine="1134"/>
        <w:jc w:val="both"/>
        <w:rPr>
          <w:lang w:val="es-AR" w:eastAsia="es-AR" w:bidi="es-AR"/>
        </w:rPr>
      </w:pPr>
      <w:r>
        <w:rPr>
          <w:lang w:val="es-AR" w:eastAsia="es-AR" w:bidi="es-AR"/>
        </w:rPr>
        <w:t xml:space="preserve">Se duele de que el magistrado de grado no haya ponderado las verdaderas necesidades de los hijos -de 20 y 17 años- ni la ausencia de colaboración del padre, lo cual recae exclusivamente sobre ella, quien asume todos los gastos de manutención, salud, educación, vivienda, transporte y actividades recreativas. </w:t>
      </w:r>
    </w:p>
    <w:p>
      <w:pPr>
        <w:pStyle w:val="[Normal]"/>
        <w:spacing w:line="360" w:lineRule="auto"/>
        <w:ind w:firstLine="1134"/>
        <w:jc w:val="both"/>
        <w:rPr>
          <w:lang w:val="es-AR" w:eastAsia="es-AR" w:bidi="es-AR"/>
        </w:rPr>
      </w:pPr>
      <w:r>
        <w:rPr>
          <w:lang w:val="es-AR" w:eastAsia="es-AR" w:bidi="es-AR"/>
        </w:rPr>
        <w:t xml:space="preserve">Sostiene que el monto resulta insuficiente frente al costo real de vida, agravado por el crecimiento de los adolescentes y la falta de actualización automática de la cuota, solicitando en consecuencia su elevación y adecuación conforme las circunstancias probadas en autos.</w:t>
      </w:r>
    </w:p>
    <w:p>
      <w:pPr>
        <w:pStyle w:val="[Normal]"/>
        <w:spacing w:line="360" w:lineRule="auto"/>
        <w:ind w:firstLine="1134"/>
        <w:jc w:val="both"/>
        <w:rPr>
          <w:lang w:val="es-AR" w:eastAsia="es-AR" w:bidi="es-AR"/>
        </w:rPr>
      </w:pPr>
      <w:r>
        <w:rPr>
          <w:lang w:val="es-AR" w:eastAsia="es-AR" w:bidi="es-AR"/>
        </w:rPr>
        <w:t xml:space="preserve">Cuestiona que la misma haya sido fijada como suma fija sin índice de actualización, señalando que ello contradice el carácter de deuda de valor que reviste la obligación alimentaria, cuyo objeto no es el dinero en sí, sino la satisfacción de necesidades esenciales y variables de los hijos. Argumenta que esta modalidad perjudica gravemente el cumplimiento efectivo del deber alimentario en un contexto inflacionario y solicita que la cuota se fije como un porcentaje del valor mensual de la canasta básica total publicada por el INDEC, criterio objetivo y razonable que permite preservar el interés superior de los adolescentes.</w:t>
      </w:r>
    </w:p>
    <w:p>
      <w:pPr>
        <w:pStyle w:val="[Normal]"/>
        <w:spacing w:line="360" w:lineRule="auto"/>
        <w:ind w:firstLine="1134"/>
        <w:jc w:val="both"/>
        <w:rPr>
          <w:lang w:val="es-AR" w:eastAsia="es-AR" w:bidi="es-AR"/>
        </w:rPr>
      </w:pPr>
      <w:r>
        <w:rPr>
          <w:lang w:val="es-AR" w:eastAsia="es-AR" w:bidi="es-AR"/>
        </w:rPr>
        <w:t xml:space="preserve">Por su parte el demandado se agravia de la sentencia en crisis calificándola de excesiva, injustificada y carente de fundamentación juridica. 		Señala que el juez de grado efectuó una incorrecta valoración del conjunto probatorio, omitiendo considerar sus posibilidades económicas reales, las cuales están condicionadas por su dependencia económica de sus padres, propietarios tanto del comercio donde trabaja como del inmueble donde reside. Expone que sus ingresos son informales y variables, lo que torna imposible el cumplimiento de la cuota impuesta, y que su nivel de vida se limita a cubrir sus necesidades básicas, sin posibilidad de agregar otra actividad laboral.</w:t>
      </w:r>
    </w:p>
    <w:p>
      <w:pPr>
        <w:pStyle w:val="[Normal]"/>
        <w:spacing w:line="360" w:lineRule="auto"/>
        <w:ind w:firstLine="1134"/>
        <w:jc w:val="both"/>
        <w:rPr>
          <w:lang w:val="es-AR" w:eastAsia="es-AR" w:bidi="es-AR"/>
        </w:rPr>
      </w:pPr>
      <w:r>
        <w:rPr>
          <w:lang w:val="es-AR" w:eastAsia="es-AR" w:bidi="es-AR"/>
        </w:rPr>
        <w:t xml:space="preserve">Asimismo, afirma que los hijos no presentan necesidades insatisfechas y poseen autonomía para desenvolverse; además, remarca que la actora cuenta con mayores y estables recursos económicos, incluyendo un empleo formal y actividades extra que generan ingresos adicionales. </w:t>
      </w:r>
    </w:p>
    <w:p>
      <w:pPr>
        <w:pStyle w:val="[Normal]"/>
        <w:spacing w:line="360" w:lineRule="auto"/>
        <w:ind w:firstLine="1134"/>
        <w:jc w:val="both"/>
        <w:rPr>
          <w:lang w:val="es-AR" w:eastAsia="es-AR" w:bidi="es-AR"/>
        </w:rPr>
      </w:pPr>
      <w:r>
        <w:rPr>
          <w:lang w:val="es-AR" w:eastAsia="es-AR" w:bidi="es-AR"/>
        </w:rPr>
        <w:t xml:space="preserve">Solicita que la cuota se reduzca a $60.000 por cada hijo o que se fije un porcentaje equivalente al 40% del Salario Mínimo Vital y Móvil, para permitirle cubrir sus propias necesidades básicas sin caer en la indigencia. 		Por último propone que dada la edad del hijo mayor la cuota correspondiente se transfiera directamente a su cuenta y que, respecto del menor, la actora denuncie una cuenta bancaria para permitirle cumplir con la obligación mediante transferencia, dada la imposibilidad de realizar depósitos judiciales en sus horarios laborales.</w:t>
      </w:r>
    </w:p>
    <w:p>
      <w:pPr>
        <w:pStyle w:val="[Normal]"/>
        <w:spacing w:line="360" w:lineRule="auto"/>
        <w:ind w:firstLine="1134"/>
        <w:jc w:val="both"/>
        <w:rPr>
          <w:lang w:val="es-AR" w:eastAsia="es-AR" w:bidi="es-AR"/>
        </w:rPr>
      </w:pPr>
      <w:r>
        <w:rPr>
          <w:lang w:val="es-AR" w:eastAsia="es-AR" w:bidi="es-AR"/>
        </w:rPr>
        <w:t xml:space="preserve">Liminarmente, advierto que no se encuentra aquí cuestionada la obligación alimentaria que recae sobre el demandado, padre de L.A.F y F.J.F</w:t>
      </w:r>
      <w:r>
        <w:rPr>
          <w:b/>
          <w:lang w:val="es-AR" w:eastAsia="es-AR" w:bidi="es-AR"/>
        </w:rPr>
        <w:t xml:space="preserve"> </w:t>
      </w:r>
      <w:r>
        <w:rPr>
          <w:lang w:val="es-AR" w:eastAsia="es-AR" w:bidi="es-AR"/>
        </w:rPr>
        <w:t xml:space="preserve">, sino que pesa sobre la sentencia en crisis una disconformidad manifiesta por ambas partes apelantes en cuanto al quantum fijado por el operador de origen, la parte actora se queja por insuficiente y la parte demandada por excesivo.</w:t>
      </w:r>
    </w:p>
    <w:p>
      <w:pPr>
        <w:pStyle w:val="[Normal]"/>
        <w:spacing w:line="360" w:lineRule="auto"/>
        <w:ind w:firstLine="1134"/>
        <w:jc w:val="both"/>
        <w:rPr>
          <w:lang w:val="es-AR" w:eastAsia="es-AR" w:bidi="es-AR"/>
        </w:rPr>
      </w:pPr>
      <w:r>
        <w:rPr>
          <w:lang w:val="es-AR" w:eastAsia="es-AR" w:bidi="es-AR"/>
        </w:rPr>
        <w:t xml:space="preserve">Ahora bien, corresponde aclarar que los arts. 658, 659, 660 y ccs. del CCyC establecen el sistema de igualdad de padre y madre, pesando la obligación debida a los hijos menores sobre ambos progenitores, incidiendo en el monto de la cuota, la situación económica de las partes y las necesidades del menor acorde a su edad, debiendo tenerse en cuenta para fijar su importe, las contribuciones que el progenitor conviviente realiza en especie a través de cuidado, atención y educación (conf. SCBA Ac.101337 del 12-8-2008, citado por esta Cámara en causa Nº 735-10 RSD 11 del 11/2/2011).-</w:t>
      </w:r>
    </w:p>
    <w:p>
      <w:pPr>
        <w:pStyle w:val="[Normal]"/>
        <w:spacing w:line="360" w:lineRule="auto"/>
        <w:ind w:firstLine="1134"/>
        <w:jc w:val="both"/>
        <w:rPr>
          <w:lang w:val="es-AR" w:eastAsia="es-AR" w:bidi="es-AR"/>
        </w:rPr>
      </w:pPr>
      <w:r>
        <w:rPr>
          <w:lang w:val="es-AR" w:eastAsia="es-AR" w:bidi="es-AR"/>
        </w:rPr>
        <w:t xml:space="preserve">Asimismo, deben tenerse presente la situación económica y social tanto de los alimentantes como del alimentado, es decir que las posibilidades deberán determinarse a partir de una evaluación conjunta del patrimonio entendido como una universalidad jurídica (bienes, créditos, cargas, rentas) y del status social que ocupan efectivamente ambos sujetos, así como de la profesión que ambos tienen.-</w:t>
      </w:r>
    </w:p>
    <w:p>
      <w:pPr>
        <w:pStyle w:val="[Normal]"/>
        <w:spacing w:line="360" w:lineRule="auto"/>
        <w:ind w:firstLine="1134"/>
        <w:jc w:val="both"/>
        <w:rPr>
          <w:lang w:val="es-AR" w:eastAsia="es-AR" w:bidi="es-AR"/>
        </w:rPr>
      </w:pPr>
      <w:r>
        <w:rPr>
          <w:lang w:val="es-AR" w:eastAsia="es-AR" w:bidi="es-AR"/>
        </w:rPr>
        <w:t xml:space="preserve">Este recorrido permite avizorar las tres técnicas de apreciación de la situación económica y social de los litigantes: aquella que versa sobre las actividades de cada uno, el sistema de vida de las partes considerando un examen global del mismo y la tercera se vincula con los ingresos de la que convive con los adolescentes, que en este caso es la madre.</w:t>
      </w:r>
    </w:p>
    <w:p>
      <w:pPr>
        <w:pStyle w:val="[Normal]"/>
        <w:spacing w:line="360" w:lineRule="auto"/>
        <w:ind w:firstLine="1134"/>
        <w:jc w:val="both"/>
        <w:rPr>
          <w:lang w:val="es-AR" w:eastAsia="es-AR" w:bidi="es-AR"/>
        </w:rPr>
      </w:pPr>
      <w:r>
        <w:rPr>
          <w:lang w:val="es-AR" w:eastAsia="es-AR" w:bidi="es-AR"/>
        </w:rPr>
        <w:t xml:space="preserve">En la especie y como primer punto corresponde determinar que en los fundamentos desarrollados en la sentencia de primera instancia emerge que L.A.F y F.J.F conviven con la progenitora en una vivienda alquilada cuyos gastos son afrontados por ésta última (ver respuesta de la firma Aloe Rodríguez de oficio de 14-9-2023 y declaraciones testimoniales de Martinez, Di Biasse y Baldomero de fecha 27-9-2023). </w:t>
      </w:r>
    </w:p>
    <w:p>
      <w:pPr>
        <w:pStyle w:val="[Normal]"/>
        <w:spacing w:line="360" w:lineRule="auto"/>
        <w:ind w:firstLine="1134"/>
        <w:jc w:val="both"/>
        <w:rPr>
          <w:lang w:val="es-AR" w:eastAsia="es-AR" w:bidi="es-AR"/>
        </w:rPr>
      </w:pPr>
      <w:r>
        <w:rPr>
          <w:lang w:val="es-AR" w:eastAsia="es-AR" w:bidi="es-AR"/>
        </w:rPr>
        <w:t xml:space="preserve">Se acreditó además que la Sra. P. trabaja como empleada municipal prestando servicio como administrativa del SAME desde el mes de Octubre del 2021 y que sus haberes netos al mes de noviembre de 2023 fueron de $ 285.997,95 (ver respuesta del Municipio de Pergamino oficio de fecha 5-12-2023). </w:t>
      </w:r>
    </w:p>
    <w:p>
      <w:pPr>
        <w:pStyle w:val="[Normal]"/>
        <w:spacing w:line="360" w:lineRule="auto"/>
        <w:ind w:firstLine="1134"/>
        <w:jc w:val="both"/>
        <w:rPr>
          <w:lang w:val="es-AR" w:eastAsia="es-AR" w:bidi="es-AR"/>
        </w:rPr>
      </w:pPr>
      <w:r>
        <w:rPr>
          <w:lang w:val="es-AR" w:eastAsia="es-AR" w:bidi="es-AR"/>
        </w:rPr>
        <w:t xml:space="preserve">En este orden tampoco no deviene cuestionado que la actora realiza tareas complementarias como maquilladora, y que asume en exclusividad la cobertura de salud, educación, alimentación, vestimenta y esparcimiento de sus hijos (ver declaraciones testimoniales de fecha 27-9-2023 e informe socio ambiental de fecha 6-2-2024).</w:t>
      </w:r>
    </w:p>
    <w:p>
      <w:pPr>
        <w:pStyle w:val="[Normal]"/>
        <w:spacing w:line="360" w:lineRule="auto"/>
        <w:ind w:firstLine="1134"/>
        <w:jc w:val="both"/>
        <w:rPr>
          <w:lang w:val="es-AR" w:eastAsia="es-AR" w:bidi="es-AR"/>
        </w:rPr>
      </w:pPr>
      <w:r>
        <w:rPr>
          <w:lang w:val="es-AR" w:eastAsia="es-AR" w:bidi="es-AR"/>
        </w:rPr>
        <w:t xml:space="preserve">Respecto del demandado debo decir que se ha tenido por probado que vive solo en un inmueble de propiedad de sus padres. Se desempeña de manera informal en una panadería que también es de sus padres percibiendo ingresos no formalizados (informe socio ambiental de fecha 19-9-2024).</w:t>
      </w:r>
    </w:p>
    <w:p>
      <w:pPr>
        <w:pStyle w:val="[Normal]"/>
        <w:spacing w:line="360" w:lineRule="auto"/>
        <w:ind w:firstLine="1134"/>
        <w:jc w:val="both"/>
        <w:rPr>
          <w:lang w:val="es-AR" w:eastAsia="es-AR" w:bidi="es-AR"/>
        </w:rPr>
      </w:pPr>
      <w:r>
        <w:rPr>
          <w:lang w:val="es-AR" w:eastAsia="es-AR" w:bidi="es-AR"/>
        </w:rPr>
        <w:t xml:space="preserve">Declara que dicha labor la realiza en la cocina y en el salón de venta en dos horarios, según expresa en su contestación de demanda de fecha 27-6-2023, es decir de 00.00 hs a 05.00 am y de 16 a 20 hs. (circunstancia que coincide con la declaración de la testigo Roberto de fecha 27-9-2023). De ello puedo inferir que por el tipo de comercio y su horarios de trabajo, el demandado presta tareas en la elaboración de las panificaciones y en su posterior venta al público en el horario de la tarde.</w:t>
      </w:r>
    </w:p>
    <w:p>
      <w:pPr>
        <w:pStyle w:val="[Normal]"/>
        <w:spacing w:line="360" w:lineRule="auto"/>
        <w:ind w:firstLine="1134"/>
        <w:jc w:val="both"/>
        <w:rPr>
          <w:lang w:val="es-AR" w:eastAsia="es-AR" w:bidi="es-AR"/>
        </w:rPr>
      </w:pPr>
      <w:r>
        <w:rPr>
          <w:lang w:val="es-AR" w:eastAsia="es-AR" w:bidi="es-AR"/>
        </w:rPr>
        <w:t xml:space="preserve">Por otro lado surge de la contestación de AFIP (hoy ARCA) de fecha 22-8-2023  que el demandado se encontró inscripto en impuesto a las Ganancias e IVA, desde periodo 06/2011 a 06/2022 y que registró inscripción como Autónomo siendo la actividad económica declarada es “Servicio de transporte automotor de cereales".</w:t>
      </w:r>
    </w:p>
    <w:p>
      <w:pPr>
        <w:pStyle w:val="[Normal]"/>
        <w:spacing w:line="360" w:lineRule="auto"/>
        <w:ind w:firstLine="1134"/>
        <w:jc w:val="both"/>
        <w:rPr>
          <w:lang w:val="es-AR" w:eastAsia="es-AR" w:bidi="es-AR"/>
        </w:rPr>
      </w:pPr>
      <w:r>
        <w:rPr>
          <w:lang w:val="es-AR" w:eastAsia="es-AR" w:bidi="es-AR"/>
        </w:rPr>
        <w:t xml:space="preserve">En este tónica emergen de los informes dominiales aportados por la accionante en fecha 15-3-2024 que el Sr. F. es titular registral de 50% de un inmueble matricula (082) 7030, así como también ostenta la titularidad plena de un camión patente  GVX140, de una tolva HQU162 y un acoplado dominio RRE464.</w:t>
      </w:r>
    </w:p>
    <w:p>
      <w:pPr>
        <w:pStyle w:val="[Normal]"/>
        <w:spacing w:line="360" w:lineRule="auto"/>
        <w:ind w:firstLine="1134"/>
        <w:jc w:val="both"/>
        <w:rPr>
          <w:lang w:val="es-AR" w:eastAsia="es-AR" w:bidi="es-AR"/>
        </w:rPr>
      </w:pPr>
      <w:r>
        <w:rPr>
          <w:lang w:val="es-AR" w:eastAsia="es-AR" w:bidi="es-AR"/>
        </w:rPr>
        <w:t xml:space="preserve">Ahora bien, conforme lo expuesto antecedentemente, debo expresar que si bien el fallo de grado reconoce el deber alimentario del progenitor y valora las tareas cotidianas de cuidado asumidas por la madre, fija una cuota cuyo monto resulta objetivamente desajustado respecto del plexo probatorio obrante en autos y de los principios que rigen en materia de alimentos.</w:t>
      </w:r>
    </w:p>
    <w:p>
      <w:pPr>
        <w:pStyle w:val="[Normal]"/>
        <w:spacing w:line="360" w:lineRule="auto"/>
        <w:ind w:firstLine="1134"/>
        <w:jc w:val="both"/>
        <w:rPr>
          <w:lang w:val="es-AR" w:eastAsia="es-AR" w:bidi="es-AR"/>
        </w:rPr>
      </w:pPr>
      <w:r>
        <w:rPr>
          <w:lang w:val="es-AR" w:eastAsia="es-AR" w:bidi="es-AR"/>
        </w:rPr>
        <w:t xml:space="preserve">En efecto, la suma mensual de $160.000 no guarda adecuada proporción con los gastos efectivamente acreditados, ni contempla el carácter dinámico y progresivo de las necesidades en función de la edad de los alimentados (17 y 20 años), sus actividades, ni con el principio de progresividad que rige en la materia.</w:t>
      </w:r>
    </w:p>
    <w:p>
      <w:pPr>
        <w:pStyle w:val="[Normal]"/>
        <w:spacing w:line="360" w:lineRule="auto"/>
        <w:ind w:firstLine="1134"/>
        <w:jc w:val="both"/>
        <w:rPr>
          <w:lang w:val="es-AR" w:eastAsia="es-AR" w:bidi="es-AR"/>
        </w:rPr>
      </w:pPr>
      <w:r>
        <w:rPr>
          <w:lang w:val="es-AR" w:eastAsia="es-AR" w:bidi="es-AR"/>
        </w:rPr>
        <w:t xml:space="preserve">Por otro lado no surge de autos que el alimentante haya demostrado de manera fehaciente una imposibilidad real, actual e insalvable de mejorar sus ingresos o de contribuir en una proporción mayor, máxime cuando de los informes y testimonios surge que mantiene un nivel de vida básico cubierto, reside en una propiedad familiar, desarrolla actividades productivas, y no registra enfermedades o impedimentos que le imposibiliten generar mayores recursos.</w:t>
      </w:r>
    </w:p>
    <w:p>
      <w:pPr>
        <w:pStyle w:val="[Normal]"/>
        <w:spacing w:line="360" w:lineRule="auto"/>
        <w:ind w:firstLine="1134"/>
        <w:jc w:val="both"/>
        <w:rPr>
          <w:lang w:val="es-AR" w:eastAsia="es-AR" w:bidi="es-AR"/>
        </w:rPr>
      </w:pPr>
      <w:r>
        <w:rPr>
          <w:lang w:val="es-AR" w:eastAsia="es-AR" w:bidi="es-AR"/>
        </w:rPr>
        <w:t xml:space="preserve">Por el contrario sólo se ha limitado a denunciar una suma austera en concepto de haber por sus labores realizadas en la panadería de propiedad de sus padres. Circunstancia que debe apreciarse con la particularidad de ser actualmente titular registral de la mitad de un bien inmueble y de conservar, más allá de que impositivamente no registre movimiento alguno, la titularidad plena de un camión, de una tolva y de una acoplado.</w:t>
      </w:r>
    </w:p>
    <w:p>
      <w:pPr>
        <w:pStyle w:val="[Normal]"/>
        <w:spacing w:line="360" w:lineRule="auto"/>
        <w:ind w:firstLine="1134"/>
        <w:jc w:val="both"/>
        <w:rPr>
          <w:lang w:val="es-AR" w:eastAsia="es-AR" w:bidi="es-AR"/>
        </w:rPr>
      </w:pPr>
      <w:r>
        <w:rPr>
          <w:lang w:val="es-AR" w:eastAsia="es-AR" w:bidi="es-AR"/>
        </w:rPr>
        <w:t xml:space="preserve">Cabe señalar que en este tipo de procesos rige la teoría de las cargas probatorias dinámicas, siendo el alimentante quien se encuentra en mejores condiciones de aportar prueba concreta sobre su capacidad económica. La sola invocación de insuficiencia sin prueba idónea no exime del cumplimiento del deber legal.</w:t>
      </w:r>
    </w:p>
    <w:p>
      <w:pPr>
        <w:pStyle w:val="[Normal]"/>
        <w:spacing w:line="360" w:lineRule="auto"/>
        <w:ind w:firstLine="1134"/>
        <w:jc w:val="both"/>
        <w:rPr>
          <w:lang w:val="es-AR" w:eastAsia="es-AR" w:bidi="es-AR"/>
        </w:rPr>
      </w:pPr>
      <w:r>
        <w:rPr>
          <w:lang w:val="es-AR" w:eastAsia="es-AR" w:bidi="es-AR"/>
        </w:rPr>
        <w:t xml:space="preserve">Debo remarcar que en materia de alimentos, la fijación de una suma que permita satisfacer adecuadamente las necesidades del hijo reviste carácter de orden público, y debe fundarse en criterios de razonabilidad, equidad y proporcionalidad entre las necesidades del alimentado y las posibilidades del obligado, conforme lo disponen los arts. 658, 659 y concordantes del Código Civil y Comercial de la Nación, así como los tratados internacionales con jerarquía constitucional (art. 27 de la- Convención sobre los Derechos del Niño).</w:t>
      </w:r>
    </w:p>
    <w:p>
      <w:pPr>
        <w:pStyle w:val="[Normal]"/>
        <w:spacing w:line="360" w:lineRule="auto"/>
        <w:ind w:firstLine="1134"/>
        <w:jc w:val="both"/>
        <w:rPr>
          <w:lang w:val="es-AR" w:eastAsia="es-AR" w:bidi="es-AR"/>
        </w:rPr>
      </w:pPr>
      <w:r>
        <w:rPr>
          <w:lang w:val="es-AR" w:eastAsia="es-AR" w:bidi="es-AR"/>
        </w:rPr>
        <w:t xml:space="preserve">En este sentido, teniendo en cuenta las circunstancias del caso, la edad de los alimentados, los ingresos informados de la progenitora, el lugar de residencia, los gastos de alquiler, salud, educación, servicios públicos, alimentación, transporte y demás erogaciones debidamente documentadas en autos, corresponde hacer lugar al agravio de la parte actora y fijar una cuota que se aproxime a una cobertura realista de dichas necesidades, tomando como parámetro de cuantificación de la cuota alimentaria la actividad laborativa del demandado, esto es su trabajo en la panadería.</w:t>
      </w:r>
    </w:p>
    <w:p>
      <w:pPr>
        <w:pStyle w:val="[Normal]"/>
        <w:spacing w:line="360" w:lineRule="auto"/>
        <w:ind w:firstLine="1134"/>
        <w:jc w:val="both"/>
        <w:rPr>
          <w:lang w:val="es-AR" w:eastAsia="es-AR" w:bidi="es-AR"/>
        </w:rPr>
      </w:pPr>
      <w:r>
        <w:rPr>
          <w:lang w:val="es-AR" w:eastAsia="es-AR" w:bidi="es-AR"/>
        </w:rPr>
        <w:t xml:space="preserve">Para ello he de considerar lo descripto en el Convenio Colectivo de Trabajo del gremio correspondiente (CCT 231-1994) el cual en su Art 17 inc. b define las tareas que realiza el medio oficial (https://www.trabajo.gba.gov.ar/delegaciones/biblioteca_deles/CCT%20231-1994.pdf). </w:t>
      </w:r>
    </w:p>
    <w:p>
      <w:pPr>
        <w:pStyle w:val="[Normal]"/>
        <w:spacing w:line="360" w:lineRule="auto"/>
        <w:ind w:firstLine="1134"/>
        <w:jc w:val="both"/>
        <w:rPr>
          <w:lang w:val="es-AR" w:eastAsia="es-AR" w:bidi="es-AR"/>
        </w:rPr>
      </w:pPr>
      <w:r>
        <w:rPr>
          <w:lang w:val="es-AR" w:eastAsia="es-AR" w:bidi="es-AR"/>
        </w:rPr>
        <w:t xml:space="preserve">Dicho ello, el haber percibido para un trabajador categoría medio oficial para el mes de julio de 2025 según publica el Sindicato de Panaderos de la provincia de Buenos Aires en el sitio web https://sindicatopanaderos.ar/foepa/public/, ha sido de $1.156.798 (https://sopste.org.ar/legales/escalas-salariales-cct-231-94-2025). </w:t>
      </w:r>
    </w:p>
    <w:p>
      <w:pPr>
        <w:pStyle w:val="[Normal]"/>
        <w:spacing w:line="360" w:lineRule="auto"/>
        <w:ind w:firstLine="1134"/>
        <w:jc w:val="both"/>
        <w:rPr>
          <w:lang w:val="es-AR" w:eastAsia="es-AR" w:bidi="es-AR"/>
        </w:rPr>
      </w:pPr>
      <w:r>
        <w:rPr>
          <w:lang w:val="es-AR" w:eastAsia="es-AR" w:bidi="es-AR"/>
        </w:rPr>
        <w:t xml:space="preserve">Conforme lo expuesto, propongo al Acuerdo teniendo en cuenta el salario que publique el Sindicato de Panaderos de la provincia de Buenos Aires en su sitio web https://sindicatopanaderos.ar/foepa/public/la cuota alimentaria, fijar la cuota alimentaria que el demandado debe abonar en favor de sus hijos en un</w:t>
      </w:r>
      <w:r>
        <w:rPr>
          <w:b/>
          <w:lang w:val="es-AR" w:eastAsia="es-AR" w:bidi="es-AR"/>
        </w:rPr>
        <w:t xml:space="preserve"> </w:t>
      </w:r>
      <w:r>
        <w:rPr>
          <w:lang w:val="es-AR" w:eastAsia="es-AR" w:bidi="es-AR"/>
        </w:rPr>
        <w:t xml:space="preserve">25% del salario correspondiente a la categoría medio oficial  escala salarial FOEPA (FEDERACION OBREROS EMPLEADOS PANADEROS Y AFINES DE LA PROVINCIA DE BUENOS AIRES). Es decir que si consideramos el salario detallado en el párrafo anterior nos arrojaría una suma de $ 289.199,50, monto que supera considerablemente el establecido en la sentencia en crisis.</w:t>
      </w:r>
    </w:p>
    <w:p>
      <w:pPr>
        <w:pStyle w:val="[Normal]"/>
        <w:spacing w:line="360" w:lineRule="auto"/>
        <w:ind w:firstLine="1134"/>
        <w:jc w:val="both"/>
        <w:rPr>
          <w:lang w:val="es-AR" w:eastAsia="es-AR" w:bidi="es-AR"/>
        </w:rPr>
      </w:pPr>
      <w:r>
        <w:rPr>
          <w:lang w:val="es-AR" w:eastAsia="es-AR" w:bidi="es-AR"/>
        </w:rPr>
        <w:t xml:space="preserve">A mayor abundamiento nuestra jurisprudencia tiene dicho que, a la par de tener en cuenta los medios probatorios allegados a la causa, debe apreciarse la prueba indirecta o presunta aportada al proceso, porque no se trata de demostrar exactamente el patrimonio de alimentante, sino de contar con un mínimo de elementos que permitan ponderar, siquiera aproximadamente, su capacidad económica, que es en definitiva, la que brindará las pautas necesarias para estimar el quantum de la pensión alimentaria (conf. esta Sala C.18.387, RSD N° 142/17, del 15/08/17). Sabemos que ella comprende lo necesario para cubrir las necesidades de manutención, asistencia, educación, esparcimiento, gastos de enfermedad y los necesarios para que un niño o adolescente pueda adquirir una profesión u oficio. (CC0002 QL 23624 RR-108-2021 I 19/11/2021. JUBA B5078806).  </w:t>
      </w:r>
    </w:p>
    <w:p>
      <w:pPr>
        <w:pStyle w:val="[Normal]"/>
        <w:spacing w:line="360" w:lineRule="auto"/>
        <w:ind w:firstLine="1134"/>
        <w:jc w:val="both"/>
        <w:rPr>
          <w:lang w:val="es-AR" w:eastAsia="es-AR" w:bidi="es-AR"/>
        </w:rPr>
      </w:pPr>
      <w:r>
        <w:rPr>
          <w:lang w:val="es-AR" w:eastAsia="es-AR" w:bidi="es-AR"/>
        </w:rPr>
        <w:t xml:space="preserve">Por último, en cuanto al agravio vinculado a la propuesta del demandado de transferir la cuota alimentaria directamente a la cuenta del hijo mayor, cabe señalar que dicha pretensión no puede prosperar, en tanto la prestación alimentaria es fijada desde aquí como una cuota única e indivisible, destinada a cubrir de manera integral las necesidades de ambos hijos, sin que se prevea su fraccionamiento entre ellos o la administración separada de los fondos.</w:t>
      </w:r>
    </w:p>
    <w:p>
      <w:pPr>
        <w:pStyle w:val="[Normal]"/>
        <w:spacing w:line="360" w:lineRule="auto"/>
        <w:ind w:firstLine="1134"/>
        <w:jc w:val="both"/>
        <w:rPr>
          <w:b/>
          <w:lang w:val="es-AR" w:eastAsia="es-AR" w:bidi="es-AR"/>
        </w:rPr>
      </w:pPr>
      <w:r>
        <w:rPr>
          <w:lang w:val="es-AR" w:eastAsia="es-AR" w:bidi="es-AR"/>
        </w:rPr>
        <w:t xml:space="preserve">En cuanto a la petición de que la actora denuncie una cuenta bancaria para el hijo menor, tampoco puede acogerse, ya que la dificultad invocada para realizar depósitos judiciales no constituye causa suficiente para variar el modo de pago, existiendo mecanismos electrónicos y bancarios alternativos que permiten efectivizar la obligación sin vulnerar lo dispuesto.</w:t>
      </w:r>
    </w:p>
    <w:p>
      <w:pPr>
        <w:pStyle w:val="[Normal]"/>
        <w:spacing w:line="360" w:lineRule="auto"/>
        <w:ind w:firstLine="1134"/>
        <w:jc w:val="both"/>
        <w:rPr>
          <w:lang w:val="es-AR" w:eastAsia="es-AR" w:bidi="es-AR"/>
        </w:rPr>
      </w:pPr>
      <w:r>
        <w:rPr>
          <w:lang w:val="es-AR" w:eastAsia="es-AR" w:bidi="es-AR"/>
        </w:rPr>
        <w:t xml:space="preserve">Vale aclarar que la existencia de una cuenta judicial a nombre de estas actuaciones no es una determinación antojadiza sino que responde al criterio de que los depósitos del juicio se efectúan a la orden del juez del presente  proceso y éste es el único que puede disponer de su movimiento, condicionado al circunstanciado trámite del juicio en que se encuentra afectado.</w:t>
      </w:r>
    </w:p>
    <w:p>
      <w:pPr>
        <w:pStyle w:val="[Normal]"/>
        <w:spacing w:line="360" w:lineRule="auto"/>
        <w:ind w:firstLine="1134"/>
        <w:jc w:val="both"/>
        <w:rPr>
          <w:lang w:val="es-AR" w:eastAsia="es-AR" w:bidi="es-AR"/>
        </w:rPr>
      </w:pPr>
      <w:r>
        <w:rPr>
          <w:lang w:val="es-AR" w:eastAsia="es-AR" w:bidi="es-AR"/>
        </w:rPr>
        <w:t xml:space="preserve">Los depósitos judiciales son confiados por razones de conveniencia práctica al Banco oficial de la Provincia de Buenos Aires (cf. art. 280, 529, 563, 581, CPCC; 1º y 6º de la Ley Orgánica del Banco de la Provincia de Buenos Aires (9.434/79 y sus modif.). La entidad depositaria obra como un colaborador al servicio de la actividad jurisdiccional, con clara finalidad de custodia de los depósitos a la orden de los órganos judiciales. Esos depósitos permanecen signados por la gratuidad y su custodia sigue siendo el fin primordial y razón de ser de su existencia, aún en el caso de su imposición a plazo fijo, no pudiendo ser considerados una operación financiera de captación y colocación de fondos. (CC0100 SN 10349 S 15/12/2011. JUBA B861223). </w:t>
      </w:r>
    </w:p>
    <w:p>
      <w:pPr>
        <w:pStyle w:val="[Normal]"/>
        <w:spacing w:line="360" w:lineRule="auto"/>
        <w:ind w:firstLine="1134"/>
        <w:jc w:val="both"/>
        <w:rPr>
          <w:lang w:val="es-AR" w:eastAsia="es-AR" w:bidi="es-AR"/>
        </w:rPr>
      </w:pPr>
      <w:r>
        <w:rPr>
          <w:lang w:val="es-AR" w:eastAsia="es-AR" w:bidi="es-AR"/>
        </w:rPr>
        <w:t xml:space="preserve">Finalmente, las costas generadas por la actuación ante este sede, se imponen al demandado, siguiendo el principio general reiteradamente expuesto por este Tribunal es que "</w:t>
      </w:r>
      <w:r>
        <w:rPr>
          <w:i/>
          <w:lang w:val="es-AR" w:eastAsia="es-AR" w:bidi="es-AR"/>
        </w:rPr>
        <w:t xml:space="preserve">la obligación de pagar las costas en materia de alimentos corresponde al alimentante, salvo que el alimentado haya obrado sin razón o con negligencia manifiesta al promover la demanda</w:t>
      </w:r>
      <w:r>
        <w:rPr>
          <w:lang w:val="es-AR" w:eastAsia="es-AR" w:bidi="es-AR"/>
        </w:rPr>
        <w:t xml:space="preserve">"</w:t>
      </w:r>
      <w:r>
        <w:rPr>
          <w:b/>
          <w:lang w:val="es-AR" w:eastAsia="es-AR" w:bidi="es-AR"/>
        </w:rPr>
        <w:t xml:space="preserve"> </w:t>
      </w:r>
      <w:r>
        <w:rPr>
          <w:lang w:val="es-AR" w:eastAsia="es-AR" w:bidi="es-AR"/>
        </w:rPr>
        <w:t xml:space="preserve">(CAP 2278/2014 RS  N° 46 /2015 del 12-5-2015)</w:t>
      </w:r>
      <w:r>
        <w:rPr>
          <w:b/>
          <w:lang w:val="es-AR" w:eastAsia="es-AR" w:bidi="es-AR"/>
        </w:rPr>
        <w:t xml:space="preserve"> </w:t>
      </w:r>
      <w:r>
        <w:rPr>
          <w:lang w:val="es-AR" w:eastAsia="es-AR" w:bidi="es-AR"/>
        </w:rPr>
        <w:t xml:space="preserve">(art. 68 CPCC).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b/>
          <w:lang w:val="es-AR" w:eastAsia="es-AR" w:bidi="es-AR"/>
        </w:rPr>
      </w:pPr>
      <w:r>
        <w:rPr>
          <w:lang w:val="es-AR" w:eastAsia="es-AR" w:bidi="es-AR"/>
        </w:rPr>
        <w:t xml:space="preserve"> Hacer lugar</w:t>
      </w:r>
      <w:r>
        <w:rPr>
          <w:b/>
          <w:lang w:val="es-AR" w:eastAsia="es-AR" w:bidi="es-AR"/>
        </w:rPr>
        <w:t xml:space="preserve"> </w:t>
      </w:r>
      <w:r>
        <w:rPr>
          <w:lang w:val="es-AR" w:eastAsia="es-AR" w:bidi="es-AR"/>
        </w:rPr>
        <w:t xml:space="preserve">al recurso de apelación deducido por la actora y en su mérito, modificar la sentencia de fecha 20 de marzo de 2025 en lo que respecta al monto de la cuota alimentaria que debe abonar el Sr. G.O.F en favor de sus hijos L.A.F y F.J.F., fijándola en un 25% del salario correspondiente a la categoría medio oficial escala salarial FOEPA (FEDERACION OBREROS EMPLEADOS PANADEROS Y AFINES DE LA PROVINCIA DE BUENOS AIRES),</w:t>
      </w:r>
      <w:r>
        <w:rPr>
          <w:b/>
          <w:lang w:val="es-AR" w:eastAsia="es-AR" w:bidi="es-AR"/>
        </w:rPr>
        <w:t xml:space="preserve"> </w:t>
      </w:r>
      <w:r>
        <w:rPr>
          <w:lang w:val="es-AR" w:eastAsia="es-AR" w:bidi="es-AR"/>
        </w:rPr>
        <w:t xml:space="preserve">conforme los valores mensuales que publique el gremio pertinente en su pagina web (https://sindicatopanaderos.ar/foepa/public/escala-salarial#sitio-position). </w:t>
      </w:r>
    </w:p>
    <w:p>
      <w:pPr>
        <w:pStyle w:val="[Normal]"/>
        <w:spacing w:line="360" w:lineRule="auto"/>
        <w:ind w:firstLine="1134"/>
        <w:jc w:val="both"/>
        <w:rPr>
          <w:lang w:val="es-AR" w:eastAsia="es-AR" w:bidi="es-AR"/>
        </w:rPr>
      </w:pPr>
      <w:r>
        <w:rPr>
          <w:lang w:val="es-AR" w:eastAsia="es-AR" w:bidi="es-AR"/>
        </w:rPr>
        <w:t xml:space="preserve">Rechazar el recurso de apelación deducido por el demandado.</w:t>
      </w:r>
    </w:p>
    <w:p>
      <w:pPr>
        <w:pStyle w:val="[Normal]"/>
        <w:spacing w:line="360" w:lineRule="auto"/>
        <w:ind w:firstLine="1134"/>
        <w:jc w:val="both"/>
        <w:rPr>
          <w:lang w:val="es-AR" w:eastAsia="es-AR" w:bidi="es-AR"/>
        </w:rPr>
      </w:pPr>
      <w:r>
        <w:rPr>
          <w:lang w:val="es-AR" w:eastAsia="es-AR" w:bidi="es-AR"/>
        </w:rPr>
        <w:t xml:space="preserve">Imponer las costas al demandado vencido (art. 68 CPCC).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la de primera instancia (art. 31 Ley 14.967). </w:t>
      </w:r>
    </w:p>
    <w:p>
      <w:pPr>
        <w:pStyle w:val="[Normal]"/>
        <w:spacing w:line="360" w:lineRule="auto"/>
        <w:ind w:firstLine="1134"/>
        <w:jc w:val="both"/>
        <w:rPr>
          <w:lang w:val="es-AR" w:eastAsia="es-AR" w:bidi="es-AR"/>
        </w:rPr>
      </w:pPr>
      <w:r>
        <w:rPr>
          <w:b/>
          <w:lang w:val="es-AR" w:eastAsia="es-AR" w:bidi="es-AR"/>
        </w:rPr>
        <w:t xml:space="preserve">ASI LO VOTO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 </w:t>
      </w:r>
    </w:p>
    <w:p>
      <w:pPr>
        <w:pStyle w:val="[Normal]"/>
        <w:spacing w:line="360" w:lineRule="auto"/>
        <w:ind w:firstLine="1134"/>
        <w:jc w:val="both"/>
        <w:rPr>
          <w:b/>
          <w:lang w:val="es-AR" w:eastAsia="es-AR" w:bidi="es-AR"/>
        </w:rPr>
      </w:pPr>
      <w:r>
        <w:rPr>
          <w:lang w:val="es-AR" w:eastAsia="es-AR" w:bidi="es-AR"/>
        </w:rPr>
        <w:t xml:space="preserve">Hacer lugar</w:t>
      </w:r>
      <w:r>
        <w:rPr>
          <w:b/>
          <w:lang w:val="es-AR" w:eastAsia="es-AR" w:bidi="es-AR"/>
        </w:rPr>
        <w:t xml:space="preserve"> </w:t>
      </w:r>
      <w:r>
        <w:rPr>
          <w:lang w:val="es-AR" w:eastAsia="es-AR" w:bidi="es-AR"/>
        </w:rPr>
        <w:t xml:space="preserve">al recurso de apelación deducido por la actora y en su mérito, modificar la sentencia de fecha 20 de marzo de 2025 en lo que respecta al monto de la cuota alimentaria que debe abonar el Sr. G.O.F en favor de sus hijos L.A.F y F.J.F., fijándola en un 25% del salario correspondiente a la categoría medio oficial escala salarial FOEPA (FEDERACION OBREROS EMPLEADOS PANADEROS Y AFINES DE LA PROVINCIA DE BUENOS AIRES),</w:t>
      </w:r>
      <w:r>
        <w:rPr>
          <w:b/>
          <w:lang w:val="es-AR" w:eastAsia="es-AR" w:bidi="es-AR"/>
        </w:rPr>
        <w:t xml:space="preserve"> </w:t>
      </w:r>
      <w:r>
        <w:rPr>
          <w:lang w:val="es-AR" w:eastAsia="es-AR" w:bidi="es-AR"/>
        </w:rPr>
        <w:t xml:space="preserve">conforme los valores mensuales que publique el gremio pertinente en su pagina web (https://sindicatopanaderos.ar/foepa/public/escala-salarial#sitio-position). </w:t>
      </w:r>
    </w:p>
    <w:p>
      <w:pPr>
        <w:pStyle w:val="[Normal]"/>
        <w:spacing w:line="360" w:lineRule="auto"/>
        <w:ind w:firstLine="1134"/>
        <w:jc w:val="both"/>
        <w:rPr>
          <w:lang w:val="es-AR" w:eastAsia="es-AR" w:bidi="es-AR"/>
        </w:rPr>
      </w:pPr>
      <w:r>
        <w:rPr>
          <w:lang w:val="es-AR" w:eastAsia="es-AR" w:bidi="es-AR"/>
        </w:rPr>
        <w:t xml:space="preserve">Rechazar el recurso de apelación deducido por el demandado.</w:t>
      </w:r>
    </w:p>
    <w:p>
      <w:pPr>
        <w:pStyle w:val="[Normal]"/>
        <w:spacing w:line="360" w:lineRule="auto"/>
        <w:ind w:firstLine="1134"/>
        <w:jc w:val="both"/>
        <w:rPr>
          <w:lang w:val="es-AR" w:eastAsia="es-AR" w:bidi="es-AR"/>
        </w:rPr>
      </w:pPr>
      <w:r>
        <w:rPr>
          <w:lang w:val="es-AR" w:eastAsia="es-AR" w:bidi="es-AR"/>
        </w:rPr>
        <w:t xml:space="preserve">Imponer las costas al demandado vencido (art. 68 CPCC).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la de primera instancia (art. 31 Ley 14.967). </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jc w:val="both"/>
        <w:rPr>
          <w:lang w:val="es-AR" w:eastAsia="es-AR" w:bidi="es-AR"/>
        </w:rPr>
      </w:pPr>
    </w:p>
    <w:p>
      <w:pPr>
        <w:pStyle w:val="[Normal]"/>
        <w:spacing w:line="480" w:lineRule="auto"/>
        <w:ind w:firstLine="1134"/>
        <w:jc w:val="both"/>
        <w:rPr>
          <w:lang w:val="es-AR" w:eastAsia="es-AR" w:bidi="es-AR"/>
        </w:rPr>
      </w:pPr>
    </w:p>
    <w:p>
      <w:pPr>
        <w:pStyle w:val="[Normal]"/>
        <w:spacing w:line="480" w:lineRule="auto"/>
        <w:ind w:firstLine="1134"/>
        <w:jc w:val="both"/>
        <w:rPr>
          <w:lang w:val="es-AR" w:eastAsia="es-AR" w:bidi="es-AR"/>
        </w:rPr>
      </w:pPr>
    </w:p>
    <w:p>
      <w:pPr>
        <w:pStyle w:val="[Normal]"/>
        <w:spacing w:line="480" w:lineRule="auto"/>
        <w:ind w:firstLine="1134"/>
        <w:jc w:val="both"/>
        <w:rPr>
          <w:lang w:val="es-AR" w:eastAsia="es-AR" w:bidi="es-AR"/>
        </w:rPr>
      </w:pP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