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5694-25</w:t>
      </w:r>
      <w:r>
        <w:rPr>
          <w:lang w:val="es-AR" w:eastAsia="es-AR" w:bidi="es-AR"/>
        </w:rPr>
        <w:t xml:space="preserve"> caratulada </w:t>
      </w:r>
      <w:r>
        <w:rPr>
          <w:b/>
          <w:lang w:val="es-AR" w:eastAsia="es-AR" w:bidi="es-AR"/>
        </w:rPr>
        <w:t xml:space="preserve">"</w:t>
      </w:r>
      <w:r>
        <w:rPr>
          <w:b/>
          <w:color w:val="000000"/>
          <w:lang w:val="es-AR" w:eastAsia="es-AR" w:bidi="es-AR"/>
        </w:rPr>
        <w:t xml:space="preserve">G.D.S.D.L C/ L.J.R S/ ALIMENTOS</w:t>
      </w:r>
      <w:r>
        <w:rPr>
          <w:b/>
          <w:lang w:val="es-AR" w:eastAsia="es-AR" w:bidi="es-AR"/>
        </w:rPr>
        <w:t xml:space="preserve">"</w:t>
      </w:r>
      <w:r>
        <w:rPr>
          <w:lang w:val="es-AR" w:eastAsia="es-AR" w:bidi="es-AR"/>
        </w:rPr>
        <w:t xml:space="preserve">, Expte. </w:t>
      </w:r>
      <w:r>
        <w:rPr>
          <w:color w:val="000000"/>
          <w:lang w:val="es-AR" w:eastAsia="es-AR" w:bidi="es-AR"/>
        </w:rPr>
        <w:t xml:space="preserve">34.243</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de alimentos  y fijó como cuota de alimentos que el demandado J. R. L. debe abonar a favor de su hija M. M. L. equivalente al 20% de los haberes previsionales que percibe como retirado de la Policía de la Provincia de Buenos Aires, importe que deberá ser depositado en la cuenta abierta a nombre de autos en el Banco de la Provincia de Buenos Aires Suc. Centro de Pergamino (arts. 658, 659, y 660 del Código Civil y Comercial). Estableció que la presente cuota alimentaria debe abonarse por mes adelantado y rige a partir de la fecha en que se solicita se provea la demanda -24/10/2023- (arts. 669 y 548 del C.C.C.) a la que deberá deducirse la suma abonada por el alimentante en carácter de alimentos provisorios.  Ordenó librar oficio a la Caja de Retiros, Jubilaciones y Pensiones de la Policía de la Provincia de Buenos Aires  a fin de que proceda a retener el 20% de los haberes previsionales netos que percibe el accionado como retirado  de la fuerza de seguridad (deducidos únicamente los descuentos de ley) siendo extensivo tal porcentaje al sueldo anual complementario y a cualquier otro tipo de beneficio social no remunerativo que pudiera percibir el demandado y los deposite en la cuenta Nº 6584-027-0530944/8 C.B.U: 01403006 27658453094489, abierta a nombre de autos en el Banco Pcia. de Buenos Aires, sucursal centro de Pergamino. Se le hace saber que en caso de incumplimiento es solidariamente responsable del pago de la deuda alimentaria (art. 551 C.C.C.) como así también de los intereses que se fijen (art. 552 C.C.C.). En el oficio a librarse transcribanse los arts. 396, 397 del CPCC y 551 del CCC.  Rechazó la solicitud de cambio de modalidad de pago de la cuota por lo expuesto en los considerandos.  Admitió el reembolso del 50% de lo pagado en concepto de alquiler y gastos de contrato del departamento en la ciudad de Rosario por el periodo febrero y marzo de 2023, por los argumentos dispuestos en el considerando VI y en los términos del art. 669 CCN y rechazó el reembolso de los demás conceptos solicitados por los argumentos expuestos en el punto V de los considerandos.  Firme la presente, deberá la accionante practicar liquidación de lo adeudado, a la que se adicionará intereses calculados a la tasa pasiva más alta que paga el Banco de la Pcia. de Bs. As. en sus depósitos a 30 días, vigentes en los distintos períodos.  Difirió la fijación de cuota suplementaria para atender las cuotas alimentarias atrasadas desde la fecha de interposición de la demanda hasta la fecha de la presente,  conforme lo establecido en el punto VII de los considerandos.  Hizo saber al Sr. J.R.L que las sumas debidas por alimentos por el incumplimiento en el plazo previsto devengarán una tasa de interés (activa) equivalente a la más alta que cobra el Banco de la Provincia de Buenos Aires a sus clientes, según las reglamentaciones del Banco Central de la República Argentina (art. 552 C.C.C.).  Estableció que los intereses devengados en concepto de alimentos atrasados con posterioridad a la presente sentencia se liquiden según las pautas establecidas en el punto VIII de los considerandos.  Impuso las costas a la parte demandada que resulta perdidosa (art. 68 Cód. Proc.).  Difirió la regulación de honorarios de los letrados intervinientes para una vez que haya pautas para ello (art. 39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31-3-2025 por la parte actora, concedido en relación y con efecto devolutivo (3-4-2025), fundado el 14-4-2025 y del mismo traslado a la contraparte (25-4-2025). El 16-5-2025 no habiendo la parte demandada evacuado el traslado conferido, se le dio por perdido el derecho dejado de usar.  Elevados los autos a esta Alzada con fecha 29-5-2025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la quejosa D.S.L.G en representación de su hija M. L. contra la sentencia dictada, reseñando que el 10/11/2022 inició juicio de alimento contra el accionado, solicitando fijación de provisorios los que se concedieron el 26/04/2023 en un 20% de los haberes previsionales que percibe como retirado de la Policía de la Pcia. de Buenos Aires, que transitó todas las etapas del proceso y que se dicta  la sentencia el 20/03/2025 fijándose como cuota definitiva el 20% de los haberes previsionales que percibe en la categoría antes señalada.  Explica que este porcentaje </w:t>
      </w:r>
      <w:r>
        <w:rPr>
          <w:b/>
          <w:lang w:val="es-AR" w:eastAsia="es-AR" w:bidi="es-AR"/>
        </w:rPr>
        <w:t xml:space="preserve">es mucho menor al 35% pretendido</w:t>
      </w:r>
      <w:r>
        <w:rPr>
          <w:lang w:val="es-AR" w:eastAsia="es-AR" w:bidi="es-AR"/>
        </w:rPr>
        <w:t xml:space="preserve">, argumentando que se coloca a la beneficiaria en un completo estado de indefensión puesto que cuenta con 20 años de edad y se encuentra cursando una carrera universitaria.  Alega que el propio operador aclara "que desde los 18 hasta los 21 años de edad se deben los alimentos de la misma manera que antes de llegar a la mayoría.- La necesidad se presume juris tantum solamente que el progenitor obligado puede probar que el hijo tiene ingresos suficiente y eximirse del pago".  Sin que nada haya opuesto en la especie.-</w:t>
      </w:r>
    </w:p>
    <w:p>
      <w:pPr>
        <w:pStyle w:val="[Normal]"/>
        <w:spacing w:line="360" w:lineRule="auto"/>
        <w:ind w:firstLine="1134"/>
        <w:jc w:val="both"/>
        <w:rPr>
          <w:lang w:val="es-AR" w:eastAsia="es-AR" w:bidi="es-AR"/>
        </w:rPr>
      </w:pPr>
      <w:r>
        <w:rPr>
          <w:lang w:val="es-AR" w:eastAsia="es-AR" w:bidi="es-AR"/>
        </w:rPr>
        <w:t xml:space="preserve">Indica que la menor alterna su residencia entre Pergamino y Rosario donde vive en la semana para cursar la carrera de Ingeniería Química de la Universidad Tecnológica de Rosario y regresa a la casa materna los fines de semana.-</w:t>
      </w:r>
    </w:p>
    <w:p>
      <w:pPr>
        <w:pStyle w:val="[Normal]"/>
        <w:spacing w:line="360" w:lineRule="auto"/>
        <w:ind w:firstLine="1134"/>
        <w:jc w:val="both"/>
        <w:rPr>
          <w:lang w:val="es-AR" w:eastAsia="es-AR" w:bidi="es-AR"/>
        </w:rPr>
      </w:pPr>
      <w:r>
        <w:rPr>
          <w:lang w:val="es-AR" w:eastAsia="es-AR" w:bidi="es-AR"/>
        </w:rPr>
        <w:t xml:space="preserve">Alude a la propia situación de la accionante que dice no tener trabajo fijo ni estable y que se le dificulta conseguir porque indica que el propio demandado no le permitió trabajar durante el matrimonio, comparando su situación con la jubilación del accionado como Mayor de la Policía de la Provincia de Bs. As. señalando que vive en el departamento de la casa que fuera de sus padres y que entonces no tiene gastos considerables que hagan presumir que no puede afrontar el pago de una mayor cuota.- </w:t>
      </w:r>
    </w:p>
    <w:p>
      <w:pPr>
        <w:pStyle w:val="[Normal]"/>
        <w:spacing w:line="360" w:lineRule="auto"/>
        <w:ind w:firstLine="1134"/>
        <w:jc w:val="both"/>
        <w:rPr>
          <w:lang w:val="es-AR" w:eastAsia="es-AR" w:bidi="es-AR"/>
        </w:rPr>
      </w:pPr>
      <w:r>
        <w:rPr>
          <w:lang w:val="es-AR" w:eastAsia="es-AR" w:bidi="es-AR"/>
        </w:rPr>
        <w:t xml:space="preserve">Entrando a resolver se ha puesto en crisis el porcentaje fijado por el juez de grado pretendiendo la doliente que se incremente conforme lo pidiera en la demanda.-</w:t>
      </w:r>
    </w:p>
    <w:p>
      <w:pPr>
        <w:pStyle w:val="[Normal]"/>
        <w:spacing w:line="360" w:lineRule="auto"/>
        <w:ind w:firstLine="1134"/>
        <w:jc w:val="both"/>
        <w:rPr>
          <w:lang w:val="es-AR" w:eastAsia="es-AR" w:bidi="es-AR"/>
        </w:rPr>
      </w:pPr>
      <w:r>
        <w:rPr>
          <w:lang w:val="es-AR" w:eastAsia="es-AR" w:bidi="es-AR"/>
        </w:rPr>
        <w:t xml:space="preserve">He de señalar que este Tribunal ha dicho en forma invariable que "En la determinación de la cuota de alimentos debe tenerse principalmente en cuenta las necesidades del beneficiario y los ingresos del alimentante, y en su cuantificación debe formularse una ecuación que compatibilice unas y otras.  Desde la óptica de las primeras, se requiere que la cuota satisfaga las necesidades vitales del alimentado, comprendiendo lo necesario para su subsistencia, habitación, vestimenta, asistencia médica, educación y demás requerimientos morales y culturales. Desde el punto de vista de lo segundo, hay que atender a las posibilidades económicas del alimentante" (CC0002 MO 34906 RSI-552-95 S 28-12-1995).-</w:t>
      </w:r>
    </w:p>
    <w:p>
      <w:pPr>
        <w:pStyle w:val="[Normal]"/>
        <w:spacing w:line="360" w:lineRule="auto"/>
        <w:ind w:firstLine="1134"/>
        <w:jc w:val="both"/>
        <w:rPr>
          <w:lang w:val="es-AR" w:eastAsia="es-AR" w:bidi="es-AR"/>
        </w:rPr>
      </w:pPr>
      <w:r>
        <w:rPr>
          <w:lang w:val="es-AR" w:eastAsia="es-AR" w:bidi="es-AR"/>
        </w:rPr>
        <w:t xml:space="preserve">El quantum de la prestación alimentaria debe determinarse atendiendo el interés superior del niño y su derecho al sustento y a un nivel de vida adecuado (arts. 3 inc. 1, 6, 24, 27 inc. 1, 28 y 31 de la CDN; art. 75 inc. 22 CN).  En dicho orden, ha puntualizado la Corte Suprema de la Nación, que la prestación alimentaria tiene raíz constitucional (sent. del 16-V-2000, LL, 2001-B-638).-</w:t>
      </w:r>
    </w:p>
    <w:p>
      <w:pPr>
        <w:pStyle w:val="[Normal]"/>
        <w:spacing w:line="360" w:lineRule="auto"/>
        <w:ind w:firstLine="1134"/>
        <w:jc w:val="both"/>
        <w:rPr>
          <w:lang w:val="es-AR" w:eastAsia="es-AR" w:bidi="es-AR"/>
        </w:rPr>
      </w:pPr>
      <w:r>
        <w:rPr>
          <w:lang w:val="es-AR" w:eastAsia="es-AR" w:bidi="es-AR"/>
        </w:rPr>
        <w:t xml:space="preserve">Las pautas para establecer el monto de la prestación alimentaria a que tiene derecho el menor parten del sistema de igualdad de padre y madre que establece la normativa fondal incidiendo en ello la situación económica de las partes, pues el deber de contribución de los padres al sostenimiento de los hijos comunes es en proporción a sus recursos (arts. 646, 648 y. 455 del Código Civil y Comercial).  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spacing w:line="360" w:lineRule="auto"/>
        <w:ind w:firstLine="1134"/>
        <w:jc w:val="both"/>
        <w:rPr>
          <w:lang w:val="es-AR" w:eastAsia="es-AR" w:bidi="es-AR"/>
        </w:rPr>
      </w:pPr>
      <w:r>
        <w:rPr>
          <w:lang w:val="es-AR" w:eastAsia="es-AR" w:bidi="es-AR"/>
        </w:rPr>
        <w:t xml:space="preserve">Para evaluar su potencialidad económica se han meritado por el operador los elementos de prueba producidos en autos, los cuales fueron detallados en las resultas.  Se tuvo en cuenta el ingreso del demandado como retirado de la policía de la Pcia. de Bs. As. lo cual se extrae del informe ambiental agregado.  Se constata también del oficio de fecha 23/05/2023 de la Caja de retiros, Jubilaciones y Pensiones de la Policía de la Provincia de Bs. As. y por declaración testimonial surge que L. cobra la mitad del alquiler de un local de propiedad conjunta con la actora.-</w:t>
      </w:r>
    </w:p>
    <w:p>
      <w:pPr>
        <w:pStyle w:val="[Normal]"/>
        <w:spacing w:line="360" w:lineRule="auto"/>
        <w:ind w:firstLine="1134"/>
        <w:jc w:val="both"/>
        <w:rPr>
          <w:lang w:val="es-AR" w:eastAsia="es-AR" w:bidi="es-AR"/>
        </w:rPr>
      </w:pPr>
      <w:r>
        <w:rPr>
          <w:lang w:val="es-AR" w:eastAsia="es-AR" w:bidi="es-AR"/>
        </w:rPr>
        <w:t xml:space="preserve">También ha de puntualizarse que corresponde a ambos progenitores en la proporción de sus respectivos ingresos la obligación alimentaria, debiendo considerarse la contribución del progenitor con quien el hijo reside de manera principal (doctr. art. 650 y ccs. del CCC), pues éste realiza aportes en especie de significación económica, además de la atención que presta al hijo en los múltiples requerimientos cotidianos, y que implica una inversión de tiempo a la que debe atribuírsele valor.- </w:t>
      </w:r>
    </w:p>
    <w:p>
      <w:pPr>
        <w:pStyle w:val="[Normal]"/>
        <w:spacing w:line="360" w:lineRule="auto"/>
        <w:ind w:firstLine="1134"/>
        <w:jc w:val="both"/>
        <w:rPr>
          <w:lang w:val="es-AR" w:eastAsia="es-AR" w:bidi="es-AR"/>
        </w:rPr>
      </w:pPr>
      <w:r>
        <w:rPr>
          <w:lang w:val="es-AR" w:eastAsia="es-AR" w:bidi="es-AR"/>
        </w:rPr>
        <w:t xml:space="preserve">Aquí se trata de una menor de 20 años que está estudiando en otra ciudad y que sólo permanece con su madre los fines de semana (arts. 658 y 646 del CCCN).-</w:t>
      </w:r>
    </w:p>
    <w:p>
      <w:pPr>
        <w:pStyle w:val="[Normal]"/>
        <w:spacing w:line="360" w:lineRule="auto"/>
        <w:ind w:firstLine="1134"/>
        <w:jc w:val="both"/>
        <w:rPr>
          <w:lang w:val="es-AR" w:eastAsia="es-AR" w:bidi="es-AR"/>
        </w:rPr>
      </w:pPr>
      <w:r>
        <w:rPr>
          <w:lang w:val="es-AR" w:eastAsia="es-AR" w:bidi="es-AR"/>
        </w:rPr>
        <w:t xml:space="preserve">Debe considerarse que la hija se encuentra en la franja etaria prevista entre los 18 a 21 años, donde se contempla la obligación alimentaria salvo que el alimentante demuestre que aquella puede procurarse por si misma sus necesidades, situación que no se acreditó en la especie.-</w:t>
      </w:r>
    </w:p>
    <w:p>
      <w:pPr>
        <w:pStyle w:val="[Normal]"/>
        <w:spacing w:line="360" w:lineRule="auto"/>
        <w:ind w:firstLine="1134"/>
        <w:jc w:val="both"/>
        <w:rPr>
          <w:lang w:val="es-AR" w:eastAsia="es-AR" w:bidi="es-AR"/>
        </w:rPr>
      </w:pPr>
      <w:r>
        <w:rPr>
          <w:lang w:val="es-AR" w:eastAsia="es-AR" w:bidi="es-AR"/>
        </w:rPr>
        <w:t xml:space="preserve">Ciertamente el informe ambiental producido por la Perito II Trabajadora Social del Juzgado de Familia Nº 1 del Departamento Judicial Pergamino, muestra entrevista a ambas partes.  Rescatándose de la actora su grupo familiar, y que reside en vivienda propia, inmueble que supo ser asiento del hogar conyugal conformado por las partes, ubicado en calle XXX N° XXX del barrio Centenario de la ciudad.  "Respecto de la situación económica laboral la Sra. G. se encuentra económicamente inactiva, por lo cual carece de recursos económicos propios, señala que en el presente realiza changas, trabajos esporádicos e informales y de baja remuneración.  Declara que percibe cuota de alimentos en favor de su hija menor de parte del Sr. J.L que oscila en $200.000.- mensuales y una suma mensual de dinero en concepto de alquiler que reciben por un local comercial del que resultan propietarios con su ex esposo".-</w:t>
      </w:r>
    </w:p>
    <w:p>
      <w:pPr>
        <w:pStyle w:val="[Normal]"/>
        <w:spacing w:line="360" w:lineRule="auto"/>
        <w:ind w:firstLine="1134"/>
        <w:jc w:val="both"/>
        <w:rPr>
          <w:lang w:val="es-AR" w:eastAsia="es-AR" w:bidi="es-AR"/>
        </w:rPr>
      </w:pPr>
      <w:r>
        <w:rPr>
          <w:lang w:val="es-AR" w:eastAsia="es-AR" w:bidi="es-AR"/>
        </w:rPr>
        <w:t xml:space="preserve">"La Sra. G. carece de cobertura social en tanto su hija M. cuenta con la cobertura de IOMA (aportada por su padre).  En caso de requerir atención médica, hacen uso de efectores de salud de la esfera pública o privada de acuerdo sea requerimiento, en el caso de la actora en el presente concurre habitualmente a efectores de salud pública.  En cuanto a la incidencia en problemáticas de salud, la Sra. G. señala que su hija menor presenta un "cuadro de estrés" (sic) y problemáticas asociadas a la esfera de lo emocional, por lo cual la misma se beneficia con psicoterapia, concurre una vez a la semana con la Ps. Natalia Digilio.  Respecto a su persona, S. menciona que padece de una afección crónica en los riñones por lo cual debe realizar tratamiento médico específico y controles habituales; menciona que oportunamente supo concurrir a sede de la Dirección de Género municipal donde recibió asistencia psicológica".-</w:t>
      </w:r>
    </w:p>
    <w:p>
      <w:pPr>
        <w:pStyle w:val="[Normal]"/>
        <w:spacing w:line="360" w:lineRule="auto"/>
        <w:ind w:firstLine="1134"/>
        <w:jc w:val="both"/>
        <w:rPr>
          <w:lang w:val="es-AR" w:eastAsia="es-AR" w:bidi="es-AR"/>
        </w:rPr>
      </w:pPr>
      <w:r>
        <w:rPr>
          <w:lang w:val="es-AR" w:eastAsia="es-AR" w:bidi="es-AR"/>
        </w:rPr>
        <w:t xml:space="preserve">Respecto del demandado el informe social realizado en el domicilio recaba: 62 años de edad, nacido el día 23 de Febrero de 1962 en Pergamino, titular del DNI N° 14.623.693, estudios secundarios completos, Efectivo Policial retirado.  El Sr. L. en el presente reside sólo en el hogar peritado, conforma una estructura de hogar unipersonal.- </w:t>
      </w:r>
    </w:p>
    <w:p>
      <w:pPr>
        <w:pStyle w:val="[Normal]"/>
        <w:spacing w:line="360" w:lineRule="auto"/>
        <w:ind w:firstLine="1134"/>
        <w:jc w:val="both"/>
        <w:rPr>
          <w:lang w:val="es-AR" w:eastAsia="es-AR" w:bidi="es-AR"/>
        </w:rPr>
      </w:pPr>
      <w:r>
        <w:rPr>
          <w:lang w:val="es-AR" w:eastAsia="es-AR" w:bidi="es-AR"/>
        </w:rPr>
        <w:t xml:space="preserve">En la esfera no conviviente surge la figura de sus tres hijos,  todos en común con la actora; G. (39), M. (36) y M.M.L (19); señala que por cuestiones asociadas a la problemática familiar que se suscita hace alrededor de dos años no mantiene contacto ni comunicación con sus hijos ni con sus nietos.- </w:t>
      </w:r>
    </w:p>
    <w:p>
      <w:pPr>
        <w:pStyle w:val="[Normal]"/>
        <w:spacing w:line="360" w:lineRule="auto"/>
        <w:ind w:firstLine="1134"/>
        <w:jc w:val="both"/>
        <w:rPr>
          <w:lang w:val="es-AR" w:eastAsia="es-AR" w:bidi="es-AR"/>
        </w:rPr>
      </w:pPr>
      <w:r>
        <w:rPr>
          <w:lang w:val="es-AR" w:eastAsia="es-AR" w:bidi="es-AR"/>
        </w:rPr>
        <w:t xml:space="preserve">Respecto a la red familiar ampliada y de origen, el demandado cuenta con la figura de una única hermana, M.L.L, casada, 70 años de edad, domiciliada en barrio Acevedo de la ciudad.-</w:t>
      </w:r>
    </w:p>
    <w:p>
      <w:pPr>
        <w:pStyle w:val="[Normal]"/>
        <w:spacing w:line="360" w:lineRule="auto"/>
        <w:ind w:firstLine="1134"/>
        <w:jc w:val="both"/>
        <w:rPr>
          <w:lang w:val="es-AR" w:eastAsia="es-AR" w:bidi="es-AR"/>
        </w:rPr>
      </w:pPr>
      <w:r>
        <w:rPr>
          <w:lang w:val="es-AR" w:eastAsia="es-AR" w:bidi="es-AR"/>
        </w:rPr>
        <w:t xml:space="preserve">El demandado reside desde hace dos años en la vivienda donde se realiza la entrevista, según declara se trata del inmueble que pertenece a su familia de origen, adquirido por sus padres hace alrededor de 57 años.  La unidad habitacional se emplaza sobre calle XXX N° XXX del barrio Acevedo de Pergamino, zona urbana alejada del radio céntrico de la ciudad.  Cabe mencionar que la vivienda principal, donde habitaba oportunamente su madre H.P (f), se encuentra alquilada, la misma consta de dos habitaciones, cocina, comedor, living, baño interno y garaje; de acuerdo a lo referido por el Sr. L., el dinero de dicha renta, que asciende a alrededor de $200.000.- mensuales, lo percibe de manera íntegra su hermana M.L, dado que él hace uso del departamento interno al cual se accede por el garaje de la vivienda".-</w:t>
      </w:r>
    </w:p>
    <w:p>
      <w:pPr>
        <w:pStyle w:val="[Normal]"/>
        <w:spacing w:line="360" w:lineRule="auto"/>
        <w:ind w:firstLine="1134"/>
        <w:jc w:val="both"/>
        <w:rPr>
          <w:lang w:val="es-AR" w:eastAsia="es-AR" w:bidi="es-AR"/>
        </w:rPr>
      </w:pPr>
      <w:r>
        <w:rPr>
          <w:lang w:val="es-AR" w:eastAsia="es-AR" w:bidi="es-AR"/>
        </w:rPr>
        <w:t xml:space="preserve">"Reitera que el Sr. J.L es personal jubilado de la Policía de la Provincia de Buenos Aires, según exhibe su último recibo de cobro, percibe por ese concepto una suma neta mensual de $1.041.000.- (un millón cuarenta y un mil pesos).  De forma complementaria, declara percibir mensualmente $300.000.- en concepto de alquiler de un local comercial, del que resultan propietarios con su ex esposa, ubicado en Av. XXX N° XXX; aportando la mitad de esa suma mensual a la Sra. G., es decir $150.000".- </w:t>
      </w:r>
    </w:p>
    <w:p>
      <w:pPr>
        <w:pStyle w:val="[Normal]"/>
        <w:spacing w:line="360" w:lineRule="auto"/>
        <w:ind w:firstLine="1134"/>
        <w:jc w:val="both"/>
        <w:rPr>
          <w:lang w:val="es-AR" w:eastAsia="es-AR" w:bidi="es-AR"/>
        </w:rPr>
      </w:pPr>
      <w:r>
        <w:rPr>
          <w:lang w:val="es-AR" w:eastAsia="es-AR" w:bidi="es-AR"/>
        </w:rPr>
        <w:t xml:space="preserve">"En cuanto a los gastos y erogaciones que afronta el Sr. L. además de los propios del sostenimiento del hogar, menciona la cuota alimentaria que se le deduce de su haber en relación a su hija M., valuada en alrededor de $260.000.- mensuales.-</w:t>
      </w:r>
    </w:p>
    <w:p>
      <w:pPr>
        <w:pStyle w:val="[Normal]"/>
        <w:spacing w:line="360" w:lineRule="auto"/>
        <w:ind w:firstLine="1134"/>
        <w:jc w:val="both"/>
        <w:rPr>
          <w:lang w:val="es-AR" w:eastAsia="es-AR" w:bidi="es-AR"/>
        </w:rPr>
      </w:pPr>
      <w:r>
        <w:rPr>
          <w:lang w:val="es-AR" w:eastAsia="es-AR" w:bidi="es-AR"/>
        </w:rPr>
        <w:t xml:space="preserve">Fruto de la unión matrimonial que sostuvieron durante un lapso aproximado de treinta y ocho años nacieron tres descendientes, G. (39), M. (36) y M.M (19); la pareja parental se separa de manera definitiva en Agosto del año 2022; en términos sumamente conflictivos, aunque ambos señalan otras desvinculaciones durante la vida conyugal".- </w:t>
      </w:r>
    </w:p>
    <w:p>
      <w:pPr>
        <w:pStyle w:val="[Normal]"/>
        <w:spacing w:line="360" w:lineRule="auto"/>
        <w:ind w:firstLine="1134"/>
        <w:jc w:val="both"/>
        <w:rPr>
          <w:lang w:val="es-AR" w:eastAsia="es-AR" w:bidi="es-AR"/>
        </w:rPr>
      </w:pPr>
      <w:r>
        <w:rPr>
          <w:lang w:val="es-AR" w:eastAsia="es-AR" w:bidi="es-AR"/>
        </w:rPr>
        <w:t xml:space="preserve">Esta prueba no ha sido impugnada por ninguna de las partes. Rescato entre otras consideraciones del informe que en el plano económico surge que la actora, desde la disolución del matrimonio se encuentra económicamente inactiva, por lo cual carece de recursos económicos propios; realiza changas y trabajos esporádicos de baja remuneración y percibe como único ingreso cuota de alimentos en beneficio de su hija M., (estudiante de nivel universitario) y una suma de dinero proveniente del cobro del alquiler de un local del que resulta propietaria con su ex esposo y demandado en autos.- </w:t>
      </w:r>
    </w:p>
    <w:p>
      <w:pPr>
        <w:pStyle w:val="[Normal]"/>
        <w:spacing w:line="360" w:lineRule="auto"/>
        <w:ind w:firstLine="1134"/>
        <w:jc w:val="both"/>
        <w:rPr>
          <w:lang w:val="es-AR" w:eastAsia="es-AR" w:bidi="es-AR"/>
        </w:rPr>
      </w:pPr>
      <w:r>
        <w:rPr>
          <w:lang w:val="es-AR" w:eastAsia="es-AR" w:bidi="es-AR"/>
        </w:rPr>
        <w:t xml:space="preserve">Puede observarse que en el presente además de afrontar los gastos propios del sostenimiento del hogar,  costea gastos relacionados al sostenimiento del hogar en el que habita su hija en calidad de estudiante; (residencia, servicios, transporte, alimentos, material de estudio,  abono de celular, entre otros gastos cotidianos).- </w:t>
      </w:r>
    </w:p>
    <w:p>
      <w:pPr>
        <w:pStyle w:val="[Normal]"/>
        <w:spacing w:line="360" w:lineRule="auto"/>
        <w:ind w:firstLine="1134"/>
        <w:jc w:val="both"/>
        <w:rPr>
          <w:lang w:val="es-AR" w:eastAsia="es-AR" w:bidi="es-AR"/>
        </w:rPr>
      </w:pPr>
      <w:r>
        <w:rPr>
          <w:lang w:val="es-AR" w:eastAsia="es-AR" w:bidi="es-AR"/>
        </w:rPr>
        <w:t xml:space="preserve">Se observa en este aspecto, que la Sra. G. revela un esfuerzo para alcanzar a cubrir las necesidades de ambos hogares; recibe el aporte económico de familiares, dado que su situación económica actual es de deterioro.-</w:t>
      </w:r>
    </w:p>
    <w:p>
      <w:pPr>
        <w:pStyle w:val="[Normal]"/>
        <w:spacing w:line="360" w:lineRule="auto"/>
        <w:ind w:firstLine="1134"/>
        <w:jc w:val="both"/>
        <w:rPr>
          <w:lang w:val="es-AR" w:eastAsia="es-AR" w:bidi="es-AR"/>
        </w:rPr>
      </w:pPr>
      <w:r>
        <w:rPr>
          <w:lang w:val="es-AR" w:eastAsia="es-AR" w:bidi="es-AR"/>
        </w:rPr>
        <w:t xml:space="preserve">Surge de lo evaluado que la actora realiza controles habituales por una afección crónica en los riñones en tanto su hija M. revela problemáticas de salud asociadas a la esfera de lo emocional; asiste semanalmente a terapia psicológica con la Ps. N. D..  No se mencionan otras problemáticas de salud que sean relevantes para destacar en el ordenamiento familiar.-</w:t>
      </w:r>
    </w:p>
    <w:p>
      <w:pPr>
        <w:pStyle w:val="[Normal]"/>
        <w:spacing w:line="360" w:lineRule="auto"/>
        <w:ind w:firstLine="1134"/>
        <w:jc w:val="both"/>
        <w:rPr>
          <w:lang w:val="es-AR" w:eastAsia="es-AR" w:bidi="es-AR"/>
        </w:rPr>
      </w:pPr>
      <w:r>
        <w:rPr>
          <w:lang w:val="es-AR" w:eastAsia="es-AR" w:bidi="es-AR"/>
        </w:rPr>
        <w:t xml:space="preserve">En el caso del Sr. L. actualmente vive solo; conforma una estructura de hogar unipersonal.-</w:t>
      </w:r>
    </w:p>
    <w:p>
      <w:pPr>
        <w:pStyle w:val="[Normal]"/>
        <w:spacing w:line="360" w:lineRule="auto"/>
        <w:ind w:firstLine="1134"/>
        <w:jc w:val="both"/>
        <w:rPr>
          <w:lang w:val="es-AR" w:eastAsia="es-AR" w:bidi="es-AR"/>
        </w:rPr>
      </w:pPr>
      <w:r>
        <w:rPr>
          <w:lang w:val="es-AR" w:eastAsia="es-AR" w:bidi="es-AR"/>
        </w:rPr>
        <w:t xml:space="preserve">De acuerdo a ciertas pautas evaluadas impresiona que el demandado dispone de una situación económica organizada y estable que le permite cubrir de manera satisfactoria necesidades básicas y otras de tipo complementarias.-</w:t>
      </w:r>
    </w:p>
    <w:p>
      <w:pPr>
        <w:pStyle w:val="[Normal]"/>
        <w:spacing w:line="360" w:lineRule="auto"/>
        <w:ind w:firstLine="1134"/>
        <w:jc w:val="both"/>
        <w:rPr>
          <w:lang w:val="es-AR" w:eastAsia="es-AR" w:bidi="es-AR"/>
        </w:rPr>
      </w:pPr>
      <w:r>
        <w:rPr>
          <w:lang w:val="es-AR" w:eastAsia="es-AR" w:bidi="es-AR"/>
        </w:rPr>
        <w:t xml:space="preserve">Finalmente, cabe recordar que "por sus especiales características y su naturaleza esencialmente asistencial, el derecho de pedir alimentos presenta una particular fisonomía de la que se desprende, entre otros caracteres, el de ser circunstancial y variable, al estar estrechamente ligado a los presupuestos de hecho que lo condicionan.  De ahí entonces, que la sentencia que reconoce y cuantifica ese derecho, no causa estado, en el sentido de que puede modificarse en la medida que cambie la plataforma fáctica tenida en cuenta por el Juez al pronunciarse (conf. Morello-Passi Lanza-Sosa-Berizonce: “Códigos…” 1ª. ed. vol. VII, pág. 290/291 y 355 ap. “a”), o cuando los hechos en los cuales se funda la pretendida modificación, aún siendo anteriores al tiempo de la sentencia, no hayan podido ser alegados y probados en razón de la limitación que el trámite del juicio impone a las partes, lo que deberá ser debidamente justificado por el interesado (conf. Fenochietto-Arazi: “Código Procesal…”, Ed. Astrea, vol. III, pág. 302, ap. 3º; Jorge L. Kielmanovich: “Incidentes de aumento, reducción, cesación y coparticipación de la cuota alimentaria”, J.A. 1990-II, pág. 813, V, 817 (45) y jurisprudencia allí citada; esta Sala, causa A43.535, reg. sent. 255/95)" (CC0201 LP 118400 RSD 16/15 S 03/03/2015B251844, JUBA B251844).-</w:t>
      </w:r>
    </w:p>
    <w:p>
      <w:pPr>
        <w:pStyle w:val="[Normal]"/>
        <w:spacing w:line="360" w:lineRule="auto"/>
        <w:ind w:firstLine="1134"/>
        <w:jc w:val="both"/>
        <w:rPr>
          <w:lang w:val="es-AR" w:eastAsia="es-AR" w:bidi="es-AR"/>
        </w:rPr>
      </w:pPr>
      <w:r>
        <w:rPr>
          <w:lang w:val="es-AR" w:eastAsia="es-AR" w:bidi="es-AR"/>
        </w:rPr>
        <w:t xml:space="preserve">En consecuencia a todo lo expuesto hasta aquí y luego de un análisis estimativo y razonable del art. 659 del Código Civil y Comercial, ajustado a las circunstancias de autos (edad del niño, modalidad de cuidado del mismo, contexto económico general, etc.), ponderando por un lado que la cuota debe guardar relación con las necesidades que tiende a cubrir y la aptitud del obligado para llenar tal finalidad, estimo razonable y propongo como resolución elevar el porcentaje de la cuota establecida en la instancia de origen fijándola en el 25% de los ingresos del demandado a calcular del mismo modo que el que fuera establecido en la sentencia en revisión (arts. 163, 164, 165 y 384,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incrementando el porcentaje que debe abonar el demandado y fijándolo desde aquí en el 25% de los haberes previsionales que percibe como retirado de la Policía de la Provincia de Buenos Aires, importe que deberá ser depositado en la cuenta abierta a nombre de autos en el Banco de la Provincia de Buenos Aires Suc. Centro de Pergamino (arts. 658, 659, y 660 del Código Civil y Comercial). Confirmando en todo lo demás la sentencia de grado.-</w:t>
      </w:r>
    </w:p>
    <w:p>
      <w:pPr>
        <w:pStyle w:val="[Normal]"/>
        <w:spacing w:line="360" w:lineRule="auto"/>
        <w:ind w:firstLine="1134"/>
        <w:jc w:val="both"/>
        <w:rPr>
          <w:lang w:val="es-AR" w:eastAsia="es-AR" w:bidi="es-AR"/>
        </w:rPr>
      </w:pPr>
      <w:r>
        <w:rPr>
          <w:lang w:val="es-AR" w:eastAsia="es-AR" w:bidi="es-AR"/>
        </w:rPr>
        <w:t xml:space="preserve">Costas de Alzada al demandado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hasta la oportunidad prevista por el art. 39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incrementando el porcentaje que debe abonar el demandado y fijándolo desde aquí en el 25% de los haberes previsionales que percibe como retirado de la Policía de la Provincia de Buenos Aires, importe que deberá ser depositado en la cuenta abierta a nombre de autos en el Banco de la Provincia de Buenos Aires Suc. Centro de Pergamino (arts. 658, 659, y 660 del Código Civil y Comercial). Confirmando en todo lo demás la sentencia de grado.-</w:t>
      </w:r>
    </w:p>
    <w:p>
      <w:pPr>
        <w:pStyle w:val="[Normal]"/>
        <w:spacing w:line="360" w:lineRule="auto"/>
        <w:ind w:firstLine="1134"/>
        <w:jc w:val="both"/>
        <w:rPr>
          <w:lang w:val="es-AR" w:eastAsia="es-AR" w:bidi="es-AR"/>
        </w:rPr>
      </w:pPr>
      <w:r>
        <w:rPr>
          <w:lang w:val="es-AR" w:eastAsia="es-AR" w:bidi="es-AR"/>
        </w:rPr>
        <w:t xml:space="preserve">Costas de Alzada al demandado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hasta la oportunidad prevista por el art. 39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