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5710-25</w:t>
      </w:r>
      <w:r>
        <w:rPr>
          <w:lang w:val="es-AR" w:eastAsia="es-AR" w:bidi="es-AR"/>
        </w:rPr>
        <w:t xml:space="preserve"> caratulada </w:t>
      </w:r>
      <w:r>
        <w:rPr>
          <w:b/>
          <w:lang w:val="es-AR" w:eastAsia="es-AR" w:bidi="es-AR"/>
        </w:rPr>
        <w:t xml:space="preserve">"</w:t>
      </w:r>
      <w:r>
        <w:rPr>
          <w:b/>
          <w:color w:val="000000"/>
          <w:lang w:val="es-AR" w:eastAsia="es-AR" w:bidi="es-AR"/>
        </w:rPr>
        <w:t xml:space="preserve">R.L C/ P.L S/ ACCION COMPENSACION ECONOMICA</w:t>
      </w:r>
      <w:r>
        <w:rPr>
          <w:b/>
          <w:lang w:val="es-AR" w:eastAsia="es-AR" w:bidi="es-AR"/>
        </w:rPr>
        <w:t xml:space="preserve">"</w:t>
      </w:r>
      <w:r>
        <w:rPr>
          <w:lang w:val="es-AR" w:eastAsia="es-AR" w:bidi="es-AR"/>
        </w:rPr>
        <w:t xml:space="preserve">, Expte. </w:t>
      </w:r>
      <w:r>
        <w:rPr>
          <w:color w:val="000000"/>
          <w:lang w:val="es-AR" w:eastAsia="es-AR" w:bidi="es-AR"/>
        </w:rPr>
        <w:t xml:space="preserve">33.290</w:t>
      </w:r>
      <w:r>
        <w:rPr>
          <w:color w:val="000000"/>
          <w:lang w:val="es-AR" w:eastAsia="es-AR" w:bidi="es-AR"/>
        </w:rPr>
        <w:t xml:space="preserve"> </w:t>
      </w:r>
      <w:r>
        <w:rPr>
          <w:lang w:val="es-AR" w:eastAsia="es-AR" w:bidi="es-AR"/>
        </w:rPr>
        <w:t xml:space="preserve">del Juzgado de Familia N° 1, se practicó el sorteo de ley que determinó que la votación debía efectuarse en el siguiente orden: Graciela Scaraffia y Roberto Degleue,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Scaraffia dijo:</w:t>
      </w:r>
    </w:p>
    <w:p>
      <w:pPr>
        <w:pStyle w:val="[Normal]"/>
        <w:spacing w:line="360" w:lineRule="auto"/>
        <w:ind w:firstLine="1134"/>
        <w:jc w:val="both"/>
        <w:rPr>
          <w:color w:val="000000"/>
          <w:lang w:val="es-AR" w:eastAsia="es-AR" w:bidi="es-AR"/>
        </w:rPr>
      </w:pPr>
      <w:r>
        <w:rPr>
          <w:lang w:val="es-AR" w:eastAsia="es-AR" w:bidi="es-AR"/>
        </w:rPr>
        <w:t xml:space="preserve">El Sr. Juez de la anterior instancia hizo</w:t>
      </w:r>
      <w:r>
        <w:rPr>
          <w:color w:val="000000"/>
          <w:lang w:val="es-AR" w:eastAsia="es-AR" w:bidi="es-AR"/>
        </w:rPr>
        <w:t xml:space="preserve"> lugar a la excepción de falta de acción por caducidad del  plazo para intentar la acción de compensación económica promovida por el accionado  Sr. L.P.  Impuso las costas a la actora vencida. Reguló los honorarios de las letradas intervinientes Dra. Claudia Fumagalli y Dra. Guillermina Zanocco en la suma equivalente a 7 jus respectivamante, ello teniendo en cuenta la calidad jurídica y mérito de la labor desarrollada, las actuaciones esenciales realizadas, el tiempo empleado en la solución del litigio y el resultado obtenido (art. 22 de la ley 14.967), con más el 10% en concepto de aportes del Art.12 Inc. "a" de la ley 6716.-</w:t>
      </w:r>
    </w:p>
    <w:p>
      <w:pPr>
        <w:pStyle w:val="[Normal]"/>
        <w:spacing w:line="360" w:lineRule="auto"/>
        <w:ind w:firstLine="1134"/>
        <w:jc w:val="both"/>
        <w:rPr>
          <w:lang w:val="es-AR" w:eastAsia="es-AR" w:bidi="es-AR"/>
        </w:rPr>
      </w:pPr>
      <w:r>
        <w:rPr>
          <w:lang w:val="es-AR" w:eastAsia="es-AR" w:bidi="es-AR"/>
        </w:rPr>
        <w:t xml:space="preserve">Tal decisorio fue objeto del recurso de apelación interpuesto por la parte actora el 8-5-2025, concedido en relación y fundado el 21-5-2025 y del mismo traslado a la contraparte. El 3-6-2025 la parte demandada evacuo dicho traslado.  Elevados los autos a esta Alzada con fecha 11-6-2025 llamamiento de autos,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La queja está centrada en el rechazo de la demanda decidido por el operador de grado, quien hizo lugar a la caducidad de la acción de compensación planteada por la contraria.-</w:t>
      </w:r>
    </w:p>
    <w:p>
      <w:pPr>
        <w:pStyle w:val="[Normal]"/>
        <w:spacing w:line="360" w:lineRule="auto"/>
        <w:ind w:firstLine="1134"/>
        <w:jc w:val="both"/>
        <w:rPr>
          <w:lang w:val="es-AR" w:eastAsia="es-AR" w:bidi="es-AR"/>
        </w:rPr>
      </w:pPr>
      <w:r>
        <w:rPr>
          <w:lang w:val="es-AR" w:eastAsia="es-AR" w:bidi="es-AR"/>
        </w:rPr>
        <w:t xml:space="preserve">Argumenta la quejosa que el plazo de 6 meses es exiguo máxime cuando relata que en la especie se verifican situaciones de violencia que ameritarían un apartamiento del mismo. Dice que debió revisarse las cuestiones denunciadas y no el transcurso del tiempo.-</w:t>
      </w:r>
    </w:p>
    <w:p>
      <w:pPr>
        <w:pStyle w:val="[Normal]"/>
        <w:spacing w:line="360" w:lineRule="auto"/>
        <w:ind w:firstLine="1134"/>
        <w:jc w:val="both"/>
        <w:rPr>
          <w:lang w:val="es-AR" w:eastAsia="es-AR" w:bidi="es-AR"/>
        </w:rPr>
      </w:pPr>
      <w:r>
        <w:rPr>
          <w:lang w:val="es-AR" w:eastAsia="es-AR" w:bidi="es-AR"/>
        </w:rPr>
        <w:t xml:space="preserve">A su turno la contraria expresa que el escueto memorial presentado no abastece la critica concreta y razonada exigida por la ley ritual, en tanto sólo se manifiesta una disconformidad sin suministrar argumentos jurídicos.-</w:t>
      </w:r>
    </w:p>
    <w:p>
      <w:pPr>
        <w:pStyle w:val="[Normal]"/>
        <w:spacing w:line="360" w:lineRule="auto"/>
        <w:ind w:firstLine="1134"/>
        <w:jc w:val="both"/>
        <w:rPr>
          <w:lang w:val="es-AR" w:eastAsia="es-AR" w:bidi="es-AR"/>
        </w:rPr>
      </w:pPr>
      <w:r>
        <w:rPr>
          <w:lang w:val="es-AR" w:eastAsia="es-AR" w:bidi="es-AR"/>
        </w:rPr>
        <w:t xml:space="preserve">Subsidiariamente dice que el término para el reclamo de la compensación se encuentra ampliamente vencido, contándose 6 meses desde el cese de la convivencia acaecida en el mes de diciembre de 2020.  Que está acreditado con la interposición de la demanda que ha se había producido la caducidad antes de iniciarse la pretensión y que la contraria no planteó la inconstitucionalidad de tal modo no puede pretender la inaplicabilidad de la ley.  Solicita la confirmación de lo decidido.-</w:t>
      </w:r>
    </w:p>
    <w:p>
      <w:pPr>
        <w:pStyle w:val="[Normal]"/>
        <w:spacing w:line="360" w:lineRule="auto"/>
        <w:ind w:firstLine="1134"/>
        <w:jc w:val="both"/>
        <w:rPr>
          <w:lang w:val="es-AR" w:eastAsia="es-AR" w:bidi="es-AR"/>
        </w:rPr>
      </w:pPr>
      <w:r>
        <w:rPr>
          <w:lang w:val="es-AR" w:eastAsia="es-AR" w:bidi="es-AR"/>
        </w:rPr>
        <w:t xml:space="preserve">Entrando a resolver el test de admisibilidad del escrito recursivo cuestionado, tolera aunque en forma mínima las exigencias del art. 260 del CPCC y su doctrina, teniendo en cuenta además el principio de defensa en juicio (art. 18 de la C.N).-</w:t>
      </w:r>
    </w:p>
    <w:p>
      <w:pPr>
        <w:pStyle w:val="[Normal]"/>
        <w:spacing w:line="360" w:lineRule="auto"/>
        <w:ind w:firstLine="1134"/>
        <w:jc w:val="both"/>
        <w:rPr>
          <w:lang w:val="es-AR" w:eastAsia="es-AR" w:bidi="es-AR"/>
        </w:rPr>
      </w:pPr>
      <w:r>
        <w:rPr>
          <w:lang w:val="es-AR" w:eastAsia="es-AR" w:bidi="es-AR"/>
        </w:rPr>
        <w:t xml:space="preserve">En punto a la cuestión traída adelanto desde ya que no puede prosperar.-</w:t>
      </w:r>
    </w:p>
    <w:p>
      <w:pPr>
        <w:pStyle w:val="[Normal]"/>
        <w:spacing w:line="360" w:lineRule="auto"/>
        <w:ind w:firstLine="1134"/>
        <w:jc w:val="both"/>
        <w:rPr>
          <w:lang w:val="es-AR" w:eastAsia="es-AR" w:bidi="es-AR"/>
        </w:rPr>
      </w:pPr>
      <w:r>
        <w:rPr>
          <w:lang w:val="es-AR" w:eastAsia="es-AR" w:bidi="es-AR"/>
        </w:rPr>
        <w:t xml:space="preserve">El art.442 del Código Civil y Comercial de la Nación determina que a falta de acuerdo de los cónyuges en el convenio regulador, el juez debe determinar la procedencia y el monto de la compensación económica sobre la base de diversas circunstancias que la misma norma esboza.-</w:t>
      </w:r>
    </w:p>
    <w:p>
      <w:pPr>
        <w:pStyle w:val="[Normal]"/>
        <w:spacing w:line="360" w:lineRule="auto"/>
        <w:ind w:firstLine="1134"/>
        <w:jc w:val="both"/>
        <w:rPr>
          <w:lang w:val="es-AR" w:eastAsia="es-AR" w:bidi="es-AR"/>
        </w:rPr>
      </w:pPr>
      <w:r>
        <w:rPr>
          <w:lang w:val="es-AR" w:eastAsia="es-AR" w:bidi="es-AR"/>
        </w:rPr>
        <w:t xml:space="preserve">Ahora bien, el artículo mencionado en su último párrafo prevé que la acción para reclamar la compensación económica tiene un plazo de caducidad que se cumple a los seis meses contados desde el dictado de la sentencia de divorcio.-</w:t>
      </w:r>
    </w:p>
    <w:p>
      <w:pPr>
        <w:pStyle w:val="[Normal]"/>
        <w:spacing w:line="360" w:lineRule="auto"/>
        <w:ind w:firstLine="1134"/>
        <w:jc w:val="both"/>
        <w:rPr>
          <w:lang w:val="es-AR" w:eastAsia="es-AR" w:bidi="es-AR"/>
        </w:rPr>
      </w:pPr>
      <w:r>
        <w:rPr>
          <w:lang w:val="es-AR" w:eastAsia="es-AR" w:bidi="es-AR"/>
        </w:rPr>
        <w:t xml:space="preserve">Este plazo corto de caducidad tiene su fundamento en que se procura que los cónyuges resuelvan todas las cuestiones patrimoniales que se derivan de la ruptura matrimonial de manera simultánea al divorcio. Además, como el objeto de esta figura es compensar el desequilibrio económico que se produce a causa y como consecuencia del divorcio, es en ese momento en que debe fijarse, y no sirve a estos fines que transcurra un tiempo prolongado desde que se dicte sentencia.  De esta forma se evita el abuso del derecho que podría configurarse si después de años de dictada la sentencia se habilita a los cónyuges para continuar con pleitos relacionados a la situación patrimonial. El CC y C promueve que se solucionen de forma rápida los conflictos postdivorcio. (Conf.M.Herrera-G.Caramelo-S.Picasso, Código Civil y Comercial de la Nación Comentado, Tomo II, pág.79).-</w:t>
      </w:r>
    </w:p>
    <w:p>
      <w:pPr>
        <w:pStyle w:val="[Normal]"/>
        <w:spacing w:line="360" w:lineRule="auto"/>
        <w:ind w:firstLine="1134"/>
        <w:jc w:val="both"/>
        <w:rPr>
          <w:lang w:val="es-AR" w:eastAsia="es-AR" w:bidi="es-AR"/>
        </w:rPr>
      </w:pPr>
      <w:r>
        <w:rPr>
          <w:lang w:val="es-AR" w:eastAsia="es-AR" w:bidi="es-AR"/>
        </w:rPr>
        <w:t xml:space="preserve">Trátase de conceptos aplicables a las uniones convivenciales (art. 523, 524, 525 y ccs del CCCN).-</w:t>
      </w:r>
    </w:p>
    <w:p>
      <w:pPr>
        <w:pStyle w:val="[Normal]"/>
        <w:spacing w:line="360" w:lineRule="auto"/>
        <w:ind w:firstLine="1134"/>
        <w:jc w:val="both"/>
        <w:rPr>
          <w:lang w:val="es-AR" w:eastAsia="es-AR" w:bidi="es-AR"/>
        </w:rPr>
      </w:pPr>
      <w:r>
        <w:rPr>
          <w:lang w:val="es-AR" w:eastAsia="es-AR" w:bidi="es-AR"/>
        </w:rPr>
        <w:t xml:space="preserve">"El instituto de la compensación económica que introdujo el Código Civil y Comercial de la Nación en el derecho de familia argentino se basa en la equidad, pues se trata de una figura correctiva de un desequilibrio producido entre los miembros de la pareja y ocurrido durante la vida en común, con el fin de evitar un perjuicio injusto en las posibilidades de desenvolvimiento futuro de alguno de aquellos una vez disuelta la misma. El nacimiento del derecho a su reclamo se produce una vez acontecida la ruptura o cese, tanto de la unión matrimonial como de la unión convivencial. Pero, en los casos de divorcio, el cómputo del plazo es a partir de una fecha que siempre es cierta e indiscutible: la oportunidad de haberse dictado la sentencia de divorcio, aunque en las uniones convivenciales, el plazo comenzará a correr desde el momento de haberse producido cualquiera de las causas de finalización de la unión enumeradas en el art. 523 del Código Civil y Comercial (art. 525, última parte, Cód. Civ. y Com.). Cuando el fin  se produce por el cese de la convivencia mantenida (art. 523, apdo. "g", Cód. Civ. y Com.) será necesario, para determinar el momento en que comienza a correr el plazo de caducidad, atenernos a una cuestión fáctica -y no jurídica-, lo que puede dar lugar a controversias entre las partes y ser materia de prueba (SCBA LP C 124589 S 21/03/2022, Carátula: M.L.F. c/ C.M.E. s/ Acción de compensación económica").-</w:t>
      </w:r>
    </w:p>
    <w:p>
      <w:pPr>
        <w:pStyle w:val="[Normal]"/>
        <w:spacing w:line="360" w:lineRule="auto"/>
        <w:ind w:firstLine="1134"/>
        <w:jc w:val="both"/>
        <w:rPr>
          <w:lang w:val="es-AR" w:eastAsia="es-AR" w:bidi="es-AR"/>
        </w:rPr>
      </w:pPr>
      <w:r>
        <w:rPr>
          <w:lang w:val="es-AR" w:eastAsia="es-AR" w:bidi="es-AR"/>
        </w:rPr>
        <w:t xml:space="preserve">La ley ha sido clara en determinar el plazo para reclamar la compensación fijando un término de 6 meses a partir desde la fecha de finalización de la convivencia, que en la especie se habría producido en el mes de diciembre del año 2020, habiéndose interpuesto el reclamo judicial recién en fecha 18/08/2022 (art. 523, 525 del CCCN y ccs), es decir que ya entonces  al tiempo de accionar judicialmente  se encontraba vencido.-</w:t>
      </w:r>
    </w:p>
    <w:p>
      <w:pPr>
        <w:pStyle w:val="[Normal]"/>
        <w:spacing w:line="360" w:lineRule="auto"/>
        <w:ind w:firstLine="1134"/>
        <w:jc w:val="both"/>
        <w:rPr>
          <w:lang w:val="es-AR" w:eastAsia="es-AR" w:bidi="es-AR"/>
        </w:rPr>
      </w:pPr>
      <w:r>
        <w:rPr>
          <w:lang w:val="es-AR" w:eastAsia="es-AR" w:bidi="es-AR"/>
        </w:rPr>
        <w:t xml:space="preserve">Y si bien no se ignora que los modos de extinción de derechos han de tener una interpretación restrictiva, ello no impide que sean aplicados cuando aparezcan cumplidos de forma precisa, clara y descubierta como en la especie. Porque de lo contrario se estaría premiando un disvalor cual es la incerteza jurídica.-</w:t>
      </w:r>
    </w:p>
    <w:p>
      <w:pPr>
        <w:pStyle w:val="[Normal]"/>
        <w:spacing w:line="360" w:lineRule="auto"/>
        <w:ind w:firstLine="1134"/>
        <w:jc w:val="both"/>
        <w:rPr>
          <w:lang w:val="es-AR" w:eastAsia="es-AR" w:bidi="es-AR"/>
        </w:rPr>
      </w:pPr>
      <w:r>
        <w:rPr>
          <w:lang w:val="es-AR" w:eastAsia="es-AR" w:bidi="es-AR"/>
        </w:rPr>
        <w:t xml:space="preserve">El agravio dirigido a modificar esta aplicación normativa, pretendiendo que dicho plazo se extienda y reprochando que no se tuvo en cuenta circunstancias relacionadas con violencia, no puede ser atendido, porque  aquellas de existir debieron canalizarse mediante el reclamo y fuero correspondiente, y no han sido previstas por la ley para retrasar o suspender el plazo ya operado.-</w:t>
      </w:r>
    </w:p>
    <w:p>
      <w:pPr>
        <w:pStyle w:val="[Normal]"/>
        <w:spacing w:line="360" w:lineRule="auto"/>
        <w:ind w:firstLine="1134"/>
        <w:jc w:val="both"/>
        <w:rPr>
          <w:lang w:val="es-AR" w:eastAsia="es-AR" w:bidi="es-AR"/>
        </w:rPr>
      </w:pPr>
      <w:r>
        <w:rPr>
          <w:lang w:val="es-AR" w:eastAsia="es-AR" w:bidi="es-AR"/>
        </w:rPr>
        <w:t xml:space="preserve">La caducidad se define como la extinción de un derecho positivo por la expiración de un término estipulado por la ley, la convención o la autoridad judicial, durante el cual debía de ejercerse el citado derecho, poniendo fin a la acción para reclamarlo.-</w:t>
      </w:r>
    </w:p>
    <w:p>
      <w:pPr>
        <w:pStyle w:val="[Normal]"/>
        <w:spacing w:line="360" w:lineRule="auto"/>
        <w:ind w:firstLine="1134"/>
        <w:jc w:val="both"/>
        <w:rPr>
          <w:lang w:val="es-AR" w:eastAsia="es-AR" w:bidi="es-AR"/>
        </w:rPr>
      </w:pPr>
      <w:r>
        <w:rPr>
          <w:lang w:val="es-AR" w:eastAsia="es-AR" w:bidi="es-AR"/>
        </w:rPr>
        <w:t xml:space="preserve">En las uniones convivenciales, es el art. 525 CCCN el que establece que: «La acción para reclamar la compensación económica caduca a los seis meses de haberse producido cualquiera de las causas de finalización de la convivencia enumeradas en el artículo 523», ya sea: a) por la muerte de uno de los convivientes; b) por la sentencia firme de ausencia con presunción de fallecimiento de uno de los convivientes; c) por matrimonio o nueva unión convivencial de uno de sus miembros; d) por el matrimonio de los convivientes; e) por mutuo acuerdo; f) por voluntad unilateral de alguno de los convivientes notificada fehacientemente al otro; g) por el cese de la convivencia mantenida.  La interrupción de la convivencia no implica su cese si obedece a motivos laborales u otros similares, siempre que permanezca la voluntad de vida en común.-</w:t>
      </w:r>
    </w:p>
    <w:p>
      <w:pPr>
        <w:pStyle w:val="[Normal]"/>
        <w:spacing w:line="360" w:lineRule="auto"/>
        <w:ind w:firstLine="1134"/>
        <w:jc w:val="both"/>
        <w:rPr>
          <w:lang w:val="es-AR" w:eastAsia="es-AR" w:bidi="es-AR"/>
        </w:rPr>
      </w:pPr>
      <w:r>
        <w:rPr>
          <w:lang w:val="es-AR" w:eastAsia="es-AR" w:bidi="es-AR"/>
        </w:rPr>
        <w:t xml:space="preserve">Este plazo establecido por ley busca procurar que los ex cónyuges/ ex convivientes resuelvan todas las cuestiones patrimoniales que se derivan de la ruptura de manera simultánea al divorcio/ cese de la convivencia.  Establecer uno mayor desvirtuaría este instituto que se apoya en el principio de concentración de los efectos del divorcio en la época de la sentencia, coherente con la posición pacificadora de los conflictos familiares asumida por la reforma del Código.-</w:t>
      </w:r>
    </w:p>
    <w:p>
      <w:pPr>
        <w:pStyle w:val="[Normal]"/>
        <w:spacing w:line="360" w:lineRule="auto"/>
        <w:ind w:firstLine="1134"/>
        <w:jc w:val="both"/>
        <w:rPr>
          <w:lang w:val="es-AR" w:eastAsia="es-AR" w:bidi="es-AR"/>
        </w:rPr>
      </w:pPr>
      <w:r>
        <w:rPr>
          <w:lang w:val="es-AR" w:eastAsia="es-AR" w:bidi="es-AR"/>
        </w:rPr>
        <w:t xml:space="preserve">Básicamente, el objeto de la compensación económica es compensar el desequilibrio patrimonial que se produce a causa y como consecuencia del divorcio/ ruptura, y, por ende, es en ´ese momento´ en que debe fijarse.  No sirve a estos fines que transcurra un tiempo prolongado desde que se dicte sentencia de divorcio o se produzca la separación, evitando también el abuso del derecho que podría configurarse si después de meses e incluso años de dictada la sentencia, se habilita a los cónyuges a continuar o reflotar pleitos relacionados con la situación patrimonial.-</w:t>
      </w:r>
    </w:p>
    <w:p>
      <w:pPr>
        <w:pStyle w:val="[Normal]"/>
        <w:spacing w:line="360" w:lineRule="auto"/>
        <w:ind w:firstLine="1134"/>
        <w:jc w:val="both"/>
        <w:rPr>
          <w:lang w:val="es-AR" w:eastAsia="es-AR" w:bidi="es-AR"/>
        </w:rPr>
      </w:pPr>
      <w:r>
        <w:rPr>
          <w:lang w:val="es-AR" w:eastAsia="es-AR" w:bidi="es-AR"/>
        </w:rPr>
        <w:t xml:space="preserve">Ahora bien, el plazo establecido por ley es de caducidad y no de prescripción. La caducidad extingue el derecho, mientras que la prescripción solo la acción. Supone el establecimiento de un plazo fatal y perentorio dentro del cual se debe realizar un hecho o un acto positivo para mantener vivo un derecho, y apareja en su defecto la extinción del derecho no ejercido (art.2566 CCCN).-</w:t>
      </w:r>
    </w:p>
    <w:p>
      <w:pPr>
        <w:pStyle w:val="[Normal]"/>
        <w:spacing w:line="360" w:lineRule="auto"/>
        <w:ind w:firstLine="1134"/>
        <w:jc w:val="both"/>
        <w:rPr>
          <w:lang w:val="es-AR" w:eastAsia="es-AR" w:bidi="es-AR"/>
        </w:rPr>
      </w:pPr>
      <w:r>
        <w:rPr>
          <w:lang w:val="es-AR" w:eastAsia="es-AR" w:bidi="es-AR"/>
        </w:rPr>
        <w:t xml:space="preserve">Respecto de la inconstitucionalidad como bien se señala en el escrito de responde de agravios, no basta la sóla mención para provocar dicha declaración, sino que por el contrario no se han reunido los requisitos para su tratamiento, tales como la relación causal entre la norma y el hecho o derecho supuestamente vulnerado, irrazonabilidad evidente, estricta necesidad, entre otros tantos presupuestos que no se han acreditado en la especie, debiendo rechazarse ese agravio.-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Scaraffia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Desestimar el recurso de apelación traído, confirmando la sentencia de grado, con costas al apelante devinto (art. 68 del CPCC y su doctrina).-</w:t>
      </w:r>
    </w:p>
    <w:p>
      <w:pPr>
        <w:pStyle w:val="[Normal]"/>
        <w:spacing w:line="360" w:lineRule="auto"/>
        <w:ind w:firstLine="1134"/>
        <w:jc w:val="both"/>
        <w:rPr>
          <w:lang w:val="es-AR" w:eastAsia="es-AR" w:bidi="es-AR"/>
        </w:rPr>
      </w:pPr>
      <w:r>
        <w:rPr>
          <w:lang w:val="es-AR" w:eastAsia="es-AR" w:bidi="es-AR"/>
        </w:rPr>
        <w:t xml:space="preserve">Regular los honorarios de los letrados por su labor en la Alzada en auto separado.-</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lang w:val="es-AR" w:eastAsia="es-AR" w:bidi="es-AR"/>
        </w:rPr>
        <w:t xml:space="preserve">S E N T E N C I 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Desestimar el recurso de apelación traído, confirmando la sentencia de grado con costas al apelante devinto (art. 68 del CPCC y su doctrina).-</w:t>
      </w:r>
    </w:p>
    <w:p>
      <w:pPr>
        <w:pStyle w:val="[Normal]"/>
        <w:spacing w:line="360" w:lineRule="auto"/>
        <w:ind w:firstLine="1134"/>
        <w:jc w:val="both"/>
        <w:rPr>
          <w:lang w:val="es-AR" w:eastAsia="es-AR" w:bidi="es-AR"/>
        </w:rPr>
      </w:pPr>
      <w:r>
        <w:rPr>
          <w:lang w:val="es-AR" w:eastAsia="es-AR" w:bidi="es-AR"/>
        </w:rPr>
        <w:t xml:space="preserve">Regular los honorarios de los letrados por su labor en la Alzada en auto separado.-</w:t>
      </w:r>
    </w:p>
    <w:p>
      <w:pPr>
        <w:pStyle w:val="[Normal]"/>
        <w:spacing w:line="360" w:lineRule="auto"/>
        <w:ind w:firstLine="1134"/>
        <w:jc w:val="both"/>
        <w:rPr>
          <w:lang w:val="es-AR" w:eastAsia="es-AR" w:bidi="es-AR"/>
        </w:rPr>
      </w:pPr>
      <w:r>
        <w:rPr>
          <w:lang w:val="es-AR" w:eastAsia="es-AR" w:bidi="es-AR"/>
        </w:rPr>
        <w:t xml:space="preserve">Regístrese. Notifíquese por Secretaría (Ac. 4013 SCBA) remitiéndose copia digital de la presente sentencia a los domicilios electrónicos de las respectivas partes. Devuélvase.-</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