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5709-25</w:t>
      </w:r>
      <w:r>
        <w:rPr>
          <w:lang w:val="es-AR" w:eastAsia="es-AR" w:bidi="es-AR"/>
        </w:rPr>
        <w:t xml:space="preserve"> caratulada </w:t>
      </w:r>
      <w:r>
        <w:rPr>
          <w:b/>
          <w:lang w:val="es-AR" w:eastAsia="es-AR" w:bidi="es-AR"/>
        </w:rPr>
        <w:t xml:space="preserve">"</w:t>
      </w:r>
      <w:r>
        <w:rPr>
          <w:b/>
          <w:color w:val="000000"/>
          <w:lang w:val="es-AR" w:eastAsia="es-AR" w:bidi="es-AR"/>
        </w:rPr>
        <w:t xml:space="preserve">L.L.A C/ G.Y.P S/ ACCION COMPENSACION ECONOMICA</w:t>
      </w:r>
      <w:r>
        <w:rPr>
          <w:b/>
          <w:lang w:val="es-AR" w:eastAsia="es-AR" w:bidi="es-AR"/>
        </w:rPr>
        <w:t xml:space="preserve">"</w:t>
      </w:r>
      <w:r>
        <w:rPr>
          <w:lang w:val="es-AR" w:eastAsia="es-AR" w:bidi="es-AR"/>
        </w:rPr>
        <w:t xml:space="preserve">, Expte. </w:t>
      </w:r>
      <w:r>
        <w:rPr>
          <w:color w:val="000000"/>
          <w:lang w:val="es-AR" w:eastAsia="es-AR" w:bidi="es-AR"/>
        </w:rPr>
        <w:t xml:space="preserve">35.926</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w:t>
      </w:r>
      <w:r>
        <w:rPr>
          <w:color w:val="000000"/>
          <w:lang w:val="es-AR" w:eastAsia="es-AR" w:bidi="es-AR"/>
        </w:rPr>
        <w:t xml:space="preserve">desestimó el pedido de caducidad formulado por la Sra. G. (arg. arts. 706 , 523 y cc. del CCyC).  Rechazó el pedido de temeridad y malicia interpuesto por la parte demandada como asimismo la acción instaurada por el Sr. L.L.A por compensación económica contra la Sra. G.Y (arts. 524, 525, 9 y 10 del Código Civil y Comercial).  Impuso las costas al accionante que resulta perdidoso (art. 68 del  CPCC).  Reguló  los honorarios de la letrada de la parte actora, Dra. Sarobe Daiana en la cantidad de  veintiún (21) jus (70% de los honorarios regulados al letrado de la parte vencedora) y reguló los honorarios del Dr. Labaronnie Ricardo Alberto (letrado de la parte demandada) en la cantidad de treinta (30) jus ambos con más aportes de ley e IVA en caso de corresponder (arts. 9 inc. e, 16, y cc. de la ley 14947).-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21-5-2025 por la parte actora, concedido libremente (4-6-2025).  Elevados los autos a esta Alzada con fecha 10-6-2025 se ordenó expresar agravios a la parte actora, quien el 11-6-2025 los fundó y del mismo traslado el 19-6-2025 a la parte demandada. El  25-6-2025 fue evacuado dicho traslado. El 26-6-2025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queja del doliente discurre sobre los siguientes puntos a saber: a) los fundamentos tomados por el a quo sobre el estado patrimonial al inicio y al final de la convivencia, denostando la situación de acompañamiento evaluada por el operador, señalando que sólo le faltaban 4 materias para recibirse cuando era conviviente con la demandada, habiendo ingresado a ingeniería mecánica en el año 1997 b) achaca falta de evaluación adecuada de la colaboración en la actividad empresarial de la demandada que a su decir fue ilustrado por los testigos y critica su merituación c) omisión de considerar la situación patrimonial al inicio y al finalizar la convivencia en cuanto al incremento de la parte demandada en relación al actor. Señalando que el proyecto de vida culminó con al menos 4 propiedades solo una escriturada 50% nombre de L. y el resto el 100% escrituradas a nombre de G. en detrimento de su parte. d) Se duele de la imposición de costas a su cargo y la regulación dispuesta achacando que los emolumentos son altos y excesivos y que se encuentra sin trabajo e imposibilitado de pagar.-</w:t>
      </w:r>
    </w:p>
    <w:p>
      <w:pPr>
        <w:pStyle w:val="[Normal]"/>
        <w:spacing w:line="360" w:lineRule="auto"/>
        <w:ind w:firstLine="1134"/>
        <w:jc w:val="both"/>
        <w:rPr>
          <w:lang w:val="es-AR" w:eastAsia="es-AR" w:bidi="es-AR"/>
        </w:rPr>
      </w:pPr>
      <w:r>
        <w:rPr>
          <w:lang w:val="es-AR" w:eastAsia="es-AR" w:bidi="es-AR"/>
        </w:rPr>
        <w:t xml:space="preserve">A su turno la parte demandada evacua los agravios, argumentando un déficit estructural de los agravios que clasifica de insuficientes.-</w:t>
      </w:r>
    </w:p>
    <w:p>
      <w:pPr>
        <w:pStyle w:val="[Normal]"/>
        <w:spacing w:line="360" w:lineRule="auto"/>
        <w:ind w:firstLine="1134"/>
        <w:jc w:val="both"/>
        <w:rPr>
          <w:lang w:val="es-AR" w:eastAsia="es-AR" w:bidi="es-AR"/>
        </w:rPr>
      </w:pPr>
      <w:r>
        <w:rPr>
          <w:lang w:val="es-AR" w:eastAsia="es-AR" w:bidi="es-AR"/>
        </w:rPr>
        <w:t xml:space="preserve">Aduce que el apelante intenta valerse de testigos excluídos (art. 425 del CPCC).-</w:t>
      </w:r>
    </w:p>
    <w:p>
      <w:pPr>
        <w:pStyle w:val="[Normal]"/>
        <w:spacing w:line="360" w:lineRule="auto"/>
        <w:ind w:firstLine="1134"/>
        <w:jc w:val="both"/>
        <w:rPr>
          <w:lang w:val="es-AR" w:eastAsia="es-AR" w:bidi="es-AR"/>
        </w:rPr>
      </w:pPr>
      <w:r>
        <w:rPr>
          <w:lang w:val="es-AR" w:eastAsia="es-AR" w:bidi="es-AR"/>
        </w:rPr>
        <w:t xml:space="preserve">También indica que la sentencia rechaza de plano la demanda en tanto no se aprecia la existencia de un desequilibrio económico manifiesto, prueba de ello trae a colación el beneficio de litigar sin gastos desestimado por la Alzada.-</w:t>
      </w:r>
    </w:p>
    <w:p>
      <w:pPr>
        <w:pStyle w:val="[Normal]"/>
        <w:spacing w:line="360" w:lineRule="auto"/>
        <w:ind w:firstLine="1134"/>
        <w:jc w:val="both"/>
        <w:rPr>
          <w:lang w:val="es-AR" w:eastAsia="es-AR" w:bidi="es-AR"/>
        </w:rPr>
      </w:pPr>
      <w:r>
        <w:rPr>
          <w:lang w:val="es-AR" w:eastAsia="es-AR" w:bidi="es-AR"/>
        </w:rPr>
        <w:t xml:space="preserve">Indica que el accionante nunca relegó nada en pos de asumir tareas del hogar, que fue la demandada quien crió los hijos y se hizo cargo de la tarea indelegable de amamantarlas, y un testigo dijo que el actor trabajó en distintas ciudades, descartando entonces la posibilidad de que se encargara del cuidado de las niñas.-</w:t>
      </w:r>
    </w:p>
    <w:p>
      <w:pPr>
        <w:pStyle w:val="[Normal]"/>
        <w:spacing w:line="360" w:lineRule="auto"/>
        <w:ind w:firstLine="1134"/>
        <w:jc w:val="both"/>
        <w:rPr>
          <w:lang w:val="es-AR" w:eastAsia="es-AR" w:bidi="es-AR"/>
        </w:rPr>
      </w:pPr>
      <w:r>
        <w:rPr>
          <w:lang w:val="es-AR" w:eastAsia="es-AR" w:bidi="es-AR"/>
        </w:rPr>
        <w:t xml:space="preserve">Señala que la unión convivencial claramente le generó al actor un mejoramiento de su posición y no al revés, en tanto logró recibirse de ingeniero y acceder a logros económicos  luego de unirse a su pareja.-</w:t>
      </w:r>
    </w:p>
    <w:p>
      <w:pPr>
        <w:pStyle w:val="[Normal]"/>
        <w:spacing w:line="360" w:lineRule="auto"/>
        <w:ind w:firstLine="1134"/>
        <w:jc w:val="both"/>
        <w:rPr>
          <w:lang w:val="es-AR" w:eastAsia="es-AR" w:bidi="es-AR"/>
        </w:rPr>
      </w:pPr>
      <w:r>
        <w:rPr>
          <w:lang w:val="es-AR" w:eastAsia="es-AR" w:bidi="es-AR"/>
        </w:rPr>
        <w:t xml:space="preserve">En forma terminante dice que no hay prueba alguna del desequilibrio patrimonial que invoca.-</w:t>
      </w:r>
    </w:p>
    <w:p>
      <w:pPr>
        <w:pStyle w:val="[Normal]"/>
        <w:spacing w:line="360" w:lineRule="auto"/>
        <w:ind w:firstLine="1134"/>
        <w:jc w:val="both"/>
        <w:rPr>
          <w:lang w:val="es-AR" w:eastAsia="es-AR" w:bidi="es-AR"/>
        </w:rPr>
      </w:pPr>
      <w:r>
        <w:rPr>
          <w:lang w:val="es-AR" w:eastAsia="es-AR" w:bidi="es-AR"/>
        </w:rPr>
        <w:t xml:space="preserve">Entrando a resolver la plataforma fáctica da cuenta de la existencia de una unión convivencial entre el actor y la demandada durante el plazo de 17 años (febrero de 2006 hasta mediados del 2023) habiendo nacido tres hijas, aduciendo el actor que por haberse dedicado al cuidado de esas niñas y las tareas del hogar postergó su desarrollo económico y profesional mientras que la Sra. G. creció profesional y empresarialmente, explicando que al inicio de la convivencia estaba recibida de ingeniera civil y durante la misma tomó las riendas de las empresas de su padre fallecido, siendo en la actualidad gerenta de la Constructora Beton S. R. L. y Presidenta de las empresas G. Ingeniería S. A. y Grovial Constructora S. A..-</w:t>
      </w:r>
    </w:p>
    <w:p>
      <w:pPr>
        <w:pStyle w:val="[Normal]"/>
        <w:spacing w:line="360" w:lineRule="auto"/>
        <w:ind w:firstLine="1134"/>
        <w:jc w:val="both"/>
        <w:rPr>
          <w:lang w:val="es-AR" w:eastAsia="es-AR" w:bidi="es-AR"/>
        </w:rPr>
      </w:pPr>
      <w:r>
        <w:rPr>
          <w:lang w:val="es-AR" w:eastAsia="es-AR" w:bidi="es-AR"/>
        </w:rPr>
        <w:t xml:space="preserve">Refiere el doliente  que como consecuencia de la separación quedó en situación de desamparo y total desproporción con respecto al nivel de vida de su ex pareja solicitando la compensación económica equivalente al 50% del valor del inmueble que tiene en común con la demandada en la localidad de Chapadmalal acompañando una tasación del mismo por el valor de dólares ciento veinte mil.-</w:t>
      </w:r>
    </w:p>
    <w:p>
      <w:pPr>
        <w:pStyle w:val="[Normal]"/>
        <w:spacing w:line="360" w:lineRule="auto"/>
        <w:ind w:firstLine="1134"/>
        <w:jc w:val="both"/>
        <w:rPr>
          <w:lang w:val="es-AR" w:eastAsia="es-AR" w:bidi="es-AR"/>
        </w:rPr>
      </w:pPr>
      <w:r>
        <w:rPr>
          <w:lang w:val="es-AR" w:eastAsia="es-AR" w:bidi="es-AR"/>
        </w:rPr>
        <w:t xml:space="preserve">Liminarmente he de señalar que el art. 441 del CCyC conceptualiza la figura del siguiente modo: "El cónyuge a quien el divorcio produce un desequilibrio manifiesto que signifique un empeoramiento de su situación y que tiene por causa adecuada el vínculo matrimonial y su ruptura, tiene derecho a una compensación.  Esta puede consistir en una prestación única, en una renta por tiempo determinado o, excepcionalmente, por plazo indeterminado.  Puede pagarse con dinero, con el usufructo de determinados bienes o de cualquier otro modo que acuerden las partes o decida el juez".-</w:t>
      </w:r>
    </w:p>
    <w:p>
      <w:pPr>
        <w:pStyle w:val="[Normal]"/>
        <w:spacing w:line="360" w:lineRule="auto"/>
        <w:ind w:firstLine="1134"/>
        <w:jc w:val="both"/>
        <w:rPr>
          <w:lang w:val="es-AR" w:eastAsia="es-AR" w:bidi="es-AR"/>
        </w:rPr>
      </w:pPr>
      <w:r>
        <w:rPr>
          <w:lang w:val="es-AR" w:eastAsia="es-AR" w:bidi="es-AR"/>
        </w:rPr>
        <w:t xml:space="preserve">De la fórmula legal es posible inferir que la compensación económica se expresa como un derecho que le asiste a uno de los cónyuges al momento de la ruptura matrimonial, sea que éste se haya producido por divorcio o por nulidades del matrimonio, para que se le compense el menoscabo económico sufrido por no haber podido desarrollar total o parcialmente una actividad remunerada como consecuencia de haberse dedicado al cuidado de los hijos o del hogar común.-</w:t>
      </w:r>
    </w:p>
    <w:p>
      <w:pPr>
        <w:pStyle w:val="[Normal]"/>
        <w:spacing w:line="360" w:lineRule="auto"/>
        <w:ind w:firstLine="1134"/>
        <w:jc w:val="both"/>
        <w:rPr>
          <w:lang w:val="es-AR" w:eastAsia="es-AR" w:bidi="es-AR"/>
        </w:rPr>
      </w:pPr>
      <w:r>
        <w:rPr>
          <w:lang w:val="es-AR" w:eastAsia="es-AR" w:bidi="es-AR"/>
        </w:rPr>
        <w:t xml:space="preserve">La finalidad es compensar o equilibrar la desigualdad económica entre cónyuges o convivientes como consecuencia del divorcio, nulidad o cese de la unión convivencial. Al decir de Ciolli,  "(...) Lo que se busca es superar el desbalance de lo que durante la vida en común se encontraba balanceado.  En cada caso, corresponderá hacer un análisis, estudio que compare el cómo se desarrolló la vida de la pareja durante el matrimonio o unión convivencial y el cómo se desarrolla la vida del excónyuge o exconviviente después del divorcio o cese de la unión convivencial" (CIOLLI, María Laura, Compensación económica: su alcance.  Publicado en: DFyP 2019 (febrero), 01/02/2019, 53 - RCCyC 2019 (febrero), 08/02/2019, 89 Cita Online: AR/DOC/1874/2018).-</w:t>
      </w:r>
    </w:p>
    <w:p>
      <w:pPr>
        <w:pStyle w:val="[Normal]"/>
        <w:spacing w:line="360" w:lineRule="auto"/>
        <w:ind w:firstLine="1134"/>
        <w:jc w:val="both"/>
        <w:rPr>
          <w:lang w:val="es-AR" w:eastAsia="es-AR" w:bidi="es-AR"/>
        </w:rPr>
      </w:pPr>
      <w:r>
        <w:rPr>
          <w:lang w:val="es-AR" w:eastAsia="es-AR" w:bidi="es-AR"/>
        </w:rPr>
        <w:t xml:space="preserve">En cuanto a su fundamentación orgánica, cabe referir que la compensación se funda en una suerte de "solidaridad posconyugal" en total consonancia con un régimen de divorcio que no exige expresión de causa alguna.  De ahí que la compensación económica se aleja de todo contenido asistencial como así también de la noción de culpa/inocencia como elemento determinante para su asignación, por lo que no ostenta mayor importancia cómo se llegó al divorcio, sino más bien cuáles son las consecuencias objetivas que la ruptura matrimonial provoca (cf. LORENZETTI, Ricardo Luis, Código Civil y Comercial de la Nación comentado", Tomo II, Santa Fe, Ed. Rubinzal Culzoni Editores, 2015, pag. 758.-</w:t>
      </w:r>
    </w:p>
    <w:p>
      <w:pPr>
        <w:pStyle w:val="[Normal]"/>
        <w:spacing w:line="360" w:lineRule="auto"/>
        <w:ind w:firstLine="1134"/>
        <w:jc w:val="both"/>
        <w:rPr>
          <w:lang w:val="es-AR" w:eastAsia="es-AR" w:bidi="es-AR"/>
        </w:rPr>
      </w:pPr>
      <w:r>
        <w:rPr>
          <w:lang w:val="es-AR" w:eastAsia="es-AR" w:bidi="es-AR"/>
        </w:rPr>
        <w:t xml:space="preserve">El reclamante que pretenda obtener la compensación económica, tiene a su cargo probar: 1) Que sufre un desequilibrio manifiesto respecto del otro cónyuge o exconviviente; 2) Que el desequilibrio origina un empeoramiento de su situación patrimonial; 3) Que tenga por causa adecuada el matrimonio o unión convivencial.-</w:t>
      </w:r>
    </w:p>
    <w:p>
      <w:pPr>
        <w:pStyle w:val="[Normal]"/>
        <w:spacing w:line="360" w:lineRule="auto"/>
        <w:ind w:firstLine="1134"/>
        <w:jc w:val="both"/>
        <w:rPr>
          <w:lang w:val="es-AR" w:eastAsia="es-AR" w:bidi="es-AR"/>
        </w:rPr>
      </w:pPr>
      <w:r>
        <w:rPr>
          <w:lang w:val="es-AR" w:eastAsia="es-AR" w:bidi="es-AR"/>
        </w:rPr>
        <w:t xml:space="preserve">Es necesario ponderar las pautas establecidas por el art. 442 del CCyC: El estado patrimonial de cada uno de los cónyuges o convivientes al inicio y a la finalización de la unión: apunta a determinar si medió o no un desequilibrio patrimonial y, en su caso, cuál es su alcance.-</w:t>
      </w:r>
    </w:p>
    <w:p>
      <w:pPr>
        <w:pStyle w:val="[Normal]"/>
        <w:spacing w:line="360" w:lineRule="auto"/>
        <w:ind w:firstLine="1134"/>
        <w:jc w:val="both"/>
        <w:rPr>
          <w:lang w:val="es-AR" w:eastAsia="es-AR" w:bidi="es-AR"/>
        </w:rPr>
      </w:pPr>
      <w:r>
        <w:rPr>
          <w:lang w:val="es-AR" w:eastAsia="es-AR" w:bidi="es-AR"/>
        </w:rPr>
        <w:t xml:space="preserve">En este sentido, Mizrahi asevera que el estudio o la "fotografía" de los patrimonios (como dicen los Fundamentos del Anteproyecto) tiene que realizarse desde una perspectiva dinámica y no estática; lo que significa decir que se tendrán en cuenta, además de los bienes propiamente dichos, qué posibilidad tienen estos de generar recursos (por ejemplo, los emergentes de la locación de ellos) y cuáles son las actividades que desempeñan cada cónyuge o conviviente (MIZRAHI, Mauricio L. Compensación económica. Pautas, cálculo, mutabilidad, acuerdos y caducidad. Publicado en: DFyP 2018 (noviembre), 09/11/2018, 30. Cita Online: AR/DOC/1592/2018).-</w:t>
      </w:r>
    </w:p>
    <w:p>
      <w:pPr>
        <w:pStyle w:val="[Normal]"/>
        <w:spacing w:line="360" w:lineRule="auto"/>
        <w:ind w:firstLine="1134"/>
        <w:jc w:val="both"/>
        <w:rPr>
          <w:lang w:val="es-AR" w:eastAsia="es-AR" w:bidi="es-AR"/>
        </w:rPr>
      </w:pPr>
      <w:r>
        <w:rPr>
          <w:lang w:val="es-AR" w:eastAsia="es-AR" w:bidi="es-AR"/>
        </w:rPr>
        <w:t xml:space="preserve">El operador de grado ha merituado atinadamente las pruebas producidas analizando la situación del accionante en el inicio de la convivencia con la demandada en febrero de 2006, subrayando que aún no había terminado sus estudios universitarios concluyendo los mismos en el año 2008 comenzando a trabajar en las empresas de la accionada, quien estaba ya recibida de ingeniera civil laborando en las mismas y de propiedad de su familia- El primer dato que extrae el operador y que se considera valioso es que efectivamente el actor se recibió  estudiando durante su vida marital, infiriendo que para ello recibió apoyo y cooperación de la demandada.-</w:t>
      </w:r>
    </w:p>
    <w:p>
      <w:pPr>
        <w:pStyle w:val="[Normal]"/>
        <w:spacing w:line="360" w:lineRule="auto"/>
        <w:ind w:firstLine="1134"/>
        <w:jc w:val="both"/>
        <w:rPr>
          <w:lang w:val="es-AR" w:eastAsia="es-AR" w:bidi="es-AR"/>
        </w:rPr>
      </w:pPr>
      <w:r>
        <w:rPr>
          <w:lang w:val="es-AR" w:eastAsia="es-AR" w:bidi="es-AR"/>
        </w:rPr>
        <w:t xml:space="preserve">Tampoco ha logrado derribar el quejoso la conclusión del magistrado referida a la falta de satisfacción probatoria de que él era exclusivamente el encargado de las tareas hogareñas y del cuidado de las niñas, en tanto evaluado los testigos son contestes en afirmar que ambas partes se ocupaban de lo atinente a la crianza, necesidades de las niñas ya que no podían contar con los abuelos.-</w:t>
      </w:r>
    </w:p>
    <w:p>
      <w:pPr>
        <w:pStyle w:val="[Normal]"/>
        <w:spacing w:line="360" w:lineRule="auto"/>
        <w:ind w:firstLine="1134"/>
        <w:jc w:val="both"/>
        <w:rPr>
          <w:lang w:val="es-AR" w:eastAsia="es-AR" w:bidi="es-AR"/>
        </w:rPr>
      </w:pPr>
      <w:r>
        <w:rPr>
          <w:lang w:val="es-AR" w:eastAsia="es-AR" w:bidi="es-AR"/>
        </w:rPr>
        <w:t xml:space="preserve">Tal como lo dijo el juez de grado no se acreditó la asimetría entre la reclamante y su pareja ni los roles fijos que provocaran la misma, y que pudieran configurar una situación de desequilibrio en términos económicos que tuviera como causa la unión y su posterior ruptura.-</w:t>
      </w:r>
    </w:p>
    <w:p>
      <w:pPr>
        <w:pStyle w:val="[Normal]"/>
        <w:spacing w:line="360" w:lineRule="auto"/>
        <w:ind w:firstLine="1134"/>
        <w:jc w:val="both"/>
        <w:rPr>
          <w:lang w:val="es-AR" w:eastAsia="es-AR" w:bidi="es-AR"/>
        </w:rPr>
      </w:pPr>
      <w:r>
        <w:rPr>
          <w:lang w:val="es-AR" w:eastAsia="es-AR" w:bidi="es-AR"/>
        </w:rPr>
        <w:t xml:space="preserve">Por el contrario se extrajo de los elementos colectados que la demandada ya era ingeniera y que trabajaba en las empresas de su familia  dedicadas al rubro construcción y que como el mismo actor lo admite "ella tenía muchos más ingresos que yo", actividad de la accionada acreditada con el oficio de ARBA que da cuenta de la inscripción en ingresos brutos con fecha inicio 1/09/2005.-</w:t>
      </w:r>
    </w:p>
    <w:p>
      <w:pPr>
        <w:pStyle w:val="[Normal]"/>
        <w:spacing w:line="360" w:lineRule="auto"/>
        <w:ind w:firstLine="1134"/>
        <w:jc w:val="both"/>
        <w:rPr>
          <w:lang w:val="es-AR" w:eastAsia="es-AR" w:bidi="es-AR"/>
        </w:rPr>
      </w:pPr>
      <w:r>
        <w:rPr>
          <w:lang w:val="es-AR" w:eastAsia="es-AR" w:bidi="es-AR"/>
        </w:rPr>
        <w:t xml:space="preserve">No se ha acreditado que esta actuación profesional de la accionada le impidiera o dificultara trabajar al actor, sino que por el contrario quedó probado que comenzó a hacerlo en la empresa familiar de ella, y que también estuvo en varias localidades de la provincia, conforme se desprende del relato de testigos.-</w:t>
      </w:r>
    </w:p>
    <w:p>
      <w:pPr>
        <w:pStyle w:val="[Normal]"/>
        <w:spacing w:line="360" w:lineRule="auto"/>
        <w:ind w:firstLine="1134"/>
        <w:jc w:val="both"/>
        <w:rPr>
          <w:lang w:val="es-AR" w:eastAsia="es-AR" w:bidi="es-AR"/>
        </w:rPr>
      </w:pPr>
      <w:r>
        <w:rPr>
          <w:lang w:val="es-AR" w:eastAsia="es-AR" w:bidi="es-AR"/>
        </w:rPr>
        <w:t xml:space="preserve">No hay elementos probatorios directos o indirectos que indiquen que el actor haya perdido oportunidad de progreso o crecimiento por apostar a un proyecto en común de pareja, ni tampoco que la demandada se haya enriquecido a costa de ello o de las tareas del hogar realizadas por el actor.-</w:t>
      </w:r>
    </w:p>
    <w:p>
      <w:pPr>
        <w:pStyle w:val="[Normal]"/>
        <w:spacing w:line="360" w:lineRule="auto"/>
        <w:ind w:firstLine="1134"/>
        <w:jc w:val="both"/>
        <w:rPr>
          <w:lang w:val="es-AR" w:eastAsia="es-AR" w:bidi="es-AR"/>
        </w:rPr>
      </w:pPr>
      <w:r>
        <w:rPr>
          <w:lang w:val="es-AR" w:eastAsia="es-AR" w:bidi="es-AR"/>
        </w:rPr>
        <w:t xml:space="preserve">En suma coincido con el juez de grado en cuanto no se ha alcanzado la verificación de la llamada causa adecuada; indispensable para que pueda tener lugar la compensación económica.-</w:t>
      </w:r>
    </w:p>
    <w:p>
      <w:pPr>
        <w:pStyle w:val="[Normal]"/>
        <w:spacing w:line="360" w:lineRule="auto"/>
        <w:ind w:firstLine="1134"/>
        <w:jc w:val="both"/>
        <w:rPr>
          <w:lang w:val="es-AR" w:eastAsia="es-AR" w:bidi="es-AR"/>
        </w:rPr>
      </w:pPr>
      <w:r>
        <w:rPr>
          <w:lang w:val="es-AR" w:eastAsia="es-AR" w:bidi="es-AR"/>
        </w:rPr>
        <w:t xml:space="preserve">El carácter de la causa exige que el desequilibrio manifiesto tenga su origen en renunciamientos, postergaciones y dedicación de uno de los cónyuges o convivientes a la familia que constituyó, como sería la crianza y educación de los hijos.-</w:t>
      </w:r>
    </w:p>
    <w:p>
      <w:pPr>
        <w:pStyle w:val="[Normal]"/>
        <w:spacing w:line="360" w:lineRule="auto"/>
        <w:ind w:firstLine="1134"/>
        <w:jc w:val="both"/>
        <w:rPr>
          <w:lang w:val="es-AR" w:eastAsia="es-AR" w:bidi="es-AR"/>
        </w:rPr>
      </w:pPr>
      <w:r>
        <w:rPr>
          <w:lang w:val="es-AR" w:eastAsia="es-AR" w:bidi="es-AR"/>
        </w:rPr>
        <w:t xml:space="preserve">El reproche que versa sobre el acrecentamiento del patrimonio de la demandada y que pretende eregir como supuesto generador de la acción de compensación, tampoco se ha configurado ni probado.-</w:t>
      </w:r>
    </w:p>
    <w:p>
      <w:pPr>
        <w:pStyle w:val="[Normal]"/>
        <w:spacing w:line="360" w:lineRule="auto"/>
        <w:ind w:firstLine="1134"/>
        <w:jc w:val="both"/>
        <w:rPr>
          <w:lang w:val="es-AR" w:eastAsia="es-AR" w:bidi="es-AR"/>
        </w:rPr>
      </w:pPr>
      <w:r>
        <w:rPr>
          <w:lang w:val="es-AR" w:eastAsia="es-AR" w:bidi="es-AR"/>
        </w:rPr>
        <w:t xml:space="preserve">Es que "La compensación económica no es una herramienta destinada a lograr una equiparación patrimonial ni a asegurar el nivel de vida que se llevó durante la unión pues ésta no es garantía de sostenimiento económico o vitalicio, ni fuente de ingresos permanente, por lo que debe excluirse el empeoramiento lógico y normal derivado de la ruptura del vínculo y que por lo general, se va a producir prácticamente siempre, dada la necesidad de duplicar numerosos gastos que durante la unión se satisfacían y compartían. CC0100 SN 3707 S 12/04/2022 Magistrados Votantes: Fernandez Balbis-Kozicki-Tivano Tribunal Origen: TF0000SN.-</w:t>
      </w:r>
    </w:p>
    <w:p>
      <w:pPr>
        <w:pStyle w:val="[Normal]"/>
        <w:spacing w:line="360" w:lineRule="auto"/>
        <w:ind w:firstLine="1134"/>
        <w:jc w:val="both"/>
        <w:rPr>
          <w:lang w:val="es-AR" w:eastAsia="es-AR" w:bidi="es-AR"/>
        </w:rPr>
      </w:pPr>
      <w:r>
        <w:rPr>
          <w:lang w:val="es-AR" w:eastAsia="es-AR" w:bidi="es-AR"/>
        </w:rPr>
        <w:t xml:space="preserve">Desde la radiografía inicial quedó demostrado que la Yanina Grondona ya poseía el título de ingeniera civil cuando inició la convivencia y que además trabajaba activamente en las empresas de su propia familia Constructora Beton S.R.L., G. Ingeniería S.A. y Grovial Constructora S.A., todas establecidas; con lo cual el acrecentamiento patrimonial que pudiera haber tenido la misma, razonablemente tiene  causa en las mismas y no como lo pretende el quejoso, en su apoyo y colaboración, otrora sin satisfacción probatoria adecuada.-</w:t>
      </w:r>
    </w:p>
    <w:p>
      <w:pPr>
        <w:pStyle w:val="[Normal]"/>
        <w:spacing w:line="360" w:lineRule="auto"/>
        <w:ind w:firstLine="1134"/>
        <w:jc w:val="both"/>
        <w:rPr>
          <w:lang w:val="es-AR" w:eastAsia="es-AR" w:bidi="es-AR"/>
        </w:rPr>
      </w:pPr>
      <w:r>
        <w:rPr>
          <w:lang w:val="es-AR" w:eastAsia="es-AR" w:bidi="es-AR"/>
        </w:rPr>
        <w:t xml:space="preserve">También ha de tenerse en cuenta la capacitación laboral y la posibilidad de acceder a un empleo por parte del actor que solicita la compensación económica, en cuanto la calidad de ingeniero mecánico y su formación profesional le posibilitarían un acceso más rápido que si careciera de la misma.-</w:t>
      </w:r>
    </w:p>
    <w:p>
      <w:pPr>
        <w:pStyle w:val="[Normal]"/>
        <w:spacing w:line="360" w:lineRule="auto"/>
        <w:ind w:firstLine="1134"/>
        <w:jc w:val="both"/>
        <w:rPr>
          <w:lang w:val="es-AR" w:eastAsia="es-AR" w:bidi="es-AR"/>
        </w:rPr>
      </w:pPr>
      <w:r>
        <w:rPr>
          <w:lang w:val="es-AR" w:eastAsia="es-AR" w:bidi="es-AR"/>
        </w:rPr>
        <w:t xml:space="preserve">"Lo relevante para que la compensación económica no es la constatación de cualquier diferencia patrimonial entre los cónyuges, sino que, de existir, debe estar relacionada con el matrimonio y su quiebre.  Y quien la pretenda deberá acompañar toda la prueba documental de la que intente valerse, destinada a acreditar los presupuestos mencionados, como pueden ser, la situación de la o del peticionante antes de contraer nupcias, su realidad laboral o profesional al concluir el matrimonio, la desventaja que se produjo por el estilo de vida que los cónyuges convinieron y el empeoramiento de la situación como derivación de ese quiebre familiar, así como también las pautas indicadas en el artículo 442 del CCCN. Valiéndose de los principios de "cargas dinámicas", de libertad, amplitud y flexibilidad (arg. arts. 710 711 CCC)". CC0003 SM 76208 D-115/2020 S 22/07/2020 Juez PEREZ (SD) Carátula: E. ,M. R. C/ L. ,M. F. S/ ACCION DE COMPENSACION ECONÓMICA Magistrados Votantes: Perez-Valdi Tribunal Origen: CC0003SM.-</w:t>
      </w:r>
    </w:p>
    <w:p>
      <w:pPr>
        <w:pStyle w:val="[Normal]"/>
        <w:spacing w:line="360" w:lineRule="auto"/>
        <w:ind w:firstLine="1134"/>
        <w:jc w:val="both"/>
        <w:rPr>
          <w:lang w:val="es-AR" w:eastAsia="es-AR" w:bidi="es-AR"/>
        </w:rPr>
      </w:pPr>
      <w:r>
        <w:rPr>
          <w:lang w:val="es-AR" w:eastAsia="es-AR" w:bidi="es-AR"/>
        </w:rPr>
        <w:t xml:space="preserve">El último de los agravios versa sobre la imposición de costas y la regulación de honorarios que tacha de altos, aludiendo a que se encuentra sin trabajo mencionando la carta documento de Rizobacter y la certificación negativa de Anses por los dos últimos períodos 04/25 a 06/25.-</w:t>
      </w:r>
    </w:p>
    <w:p>
      <w:pPr>
        <w:pStyle w:val="[Normal]"/>
        <w:spacing w:line="360" w:lineRule="auto"/>
        <w:ind w:firstLine="1134"/>
        <w:jc w:val="both"/>
        <w:rPr>
          <w:lang w:val="es-AR" w:eastAsia="es-AR" w:bidi="es-AR"/>
        </w:rPr>
      </w:pPr>
      <w:r>
        <w:rPr>
          <w:lang w:val="es-AR" w:eastAsia="es-AR" w:bidi="es-AR"/>
        </w:rPr>
        <w:t xml:space="preserve">Se ha dicho reiteradamente que "El principio general que rige en materia de costas indica que éstas deben imponerse al vencido, ya que quien hace necesaria la intervención del órgano jurisdiccional por su conducta -acción u omisión- debe soportar el pago de los gastos que la contraparte ha debido realizar en defensa de sus derechos.  Sin embargo, el art. 68 del Código de rito faculta al magistrado a eximir al perdedor de tal carga cuando "encontrare mérito para ello", lo que implica que deben existir razones fundadas y elementos de juicio suficientes para apartarse del criterio objetivo de la derrota.  La dispensa mencionada es también aplicable a los procesos incidentales -y a las incidencias, por analogía- en virtud de la remisión contenida en el texto del art. 69 del mismo cuerpo legal". CPCB Art. 68 Ver Norma | CPCB Art. 69 Ver Norma | CC0102 MP 175112 409-R I 18/08/2022.-</w:t>
      </w:r>
    </w:p>
    <w:p>
      <w:pPr>
        <w:pStyle w:val="[Normal]"/>
        <w:spacing w:line="360" w:lineRule="auto"/>
        <w:ind w:firstLine="1134"/>
        <w:jc w:val="both"/>
        <w:rPr>
          <w:lang w:val="es-AR" w:eastAsia="es-AR" w:bidi="es-AR"/>
        </w:rPr>
      </w:pPr>
      <w:r>
        <w:rPr>
          <w:lang w:val="es-AR" w:eastAsia="es-AR" w:bidi="es-AR"/>
        </w:rPr>
        <w:t xml:space="preserve">No se hallan  motivaciones suficientes que indiquen la necesidad de apartarmiento del principio general establecido por la ley adjetiva, no siendo suficiente invocar como dispensa la carencia de trabajo o la imposibilidad económica de afrontar los gastos del juicio, como se desliza en los agravios.</w:t>
      </w:r>
    </w:p>
    <w:p>
      <w:pPr>
        <w:pStyle w:val="[Normal]"/>
        <w:spacing w:line="360" w:lineRule="auto"/>
        <w:ind w:firstLine="1134"/>
        <w:jc w:val="both"/>
        <w:rPr>
          <w:lang w:val="es-AR" w:eastAsia="es-AR" w:bidi="es-AR"/>
        </w:rPr>
      </w:pPr>
      <w:r>
        <w:rPr>
          <w:lang w:val="es-AR" w:eastAsia="es-AR" w:bidi="es-AR"/>
        </w:rPr>
        <w:t xml:space="preserve">Siendo así, no resulta ocioso recordar que el criterio de la derrota es el fundamento en el que se apoya el principio general en esta materia, resultando ajustado a derecho lo resuelto en la instancia de origen (doct. y arg. arts. 69 y 69 del CPCC), el cual resulta totalmente aplicable en la especie.-</w:t>
      </w:r>
    </w:p>
    <w:p>
      <w:pPr>
        <w:pStyle w:val="[Normal]"/>
        <w:spacing w:line="360" w:lineRule="auto"/>
        <w:ind w:firstLine="1134"/>
        <w:jc w:val="both"/>
        <w:rPr>
          <w:lang w:val="es-AR" w:eastAsia="es-AR" w:bidi="es-AR"/>
        </w:rPr>
      </w:pPr>
      <w:r>
        <w:rPr>
          <w:lang w:val="es-AR" w:eastAsia="es-AR" w:bidi="es-AR"/>
        </w:rPr>
        <w:t xml:space="preserve">Ahora bien la regulación de honorarios que acusa de excesiva tampoco es de recibo en cuanto se tuvieron en cuenta las pautas indicadas por el art. 9 inc e, 16 y ccs de la ley 14.947 con meritación de la calidad de vencido y vencedor.-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a sentencia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de Alzada  por auto separado.-</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a sentencia de grado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Regular los honorarios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color w:val="000000"/>
          <w:lang w:val="es-AR" w:eastAsia="es-AR" w:bidi="es-AR"/>
        </w:rPr>
        <w:t xml:space="preserv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