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5651-25</w:t>
      </w:r>
      <w:r>
        <w:rPr>
          <w:lang w:val="es-AR" w:eastAsia="es-AR" w:bidi="es-AR"/>
        </w:rPr>
        <w:t xml:space="preserve"> caratulada </w:t>
      </w:r>
      <w:r>
        <w:rPr>
          <w:b/>
          <w:lang w:val="es-AR" w:eastAsia="es-AR" w:bidi="es-AR"/>
        </w:rPr>
        <w:t xml:space="preserve">"</w:t>
      </w:r>
      <w:r>
        <w:rPr>
          <w:b/>
          <w:color w:val="000000"/>
          <w:lang w:val="es-AR" w:eastAsia="es-AR" w:bidi="es-AR"/>
        </w:rPr>
        <w:t xml:space="preserve">DE ANGELIS REGINA ALDANA C/ DIAZ JULIO ADRIAN Y OTROS S/ DAÑOS Y PERJ.AUTOM. C/LES. O MUERTE (EXC.ESTADO)</w:t>
      </w:r>
      <w:r>
        <w:rPr>
          <w:b/>
          <w:lang w:val="es-AR" w:eastAsia="es-AR" w:bidi="es-AR"/>
        </w:rPr>
        <w:t xml:space="preserve">"</w:t>
      </w:r>
      <w:r>
        <w:rPr>
          <w:lang w:val="es-AR" w:eastAsia="es-AR" w:bidi="es-AR"/>
        </w:rPr>
        <w:t xml:space="preserve">, Expte. N° 66.255</w:t>
      </w:r>
      <w:r>
        <w:rPr>
          <w:color w:val="000000"/>
          <w:lang w:val="es-AR" w:eastAsia="es-AR" w:bidi="es-AR"/>
        </w:rPr>
        <w:t xml:space="preserve"> </w:t>
      </w:r>
      <w:r>
        <w:rPr>
          <w:lang w:val="es-AR" w:eastAsia="es-AR" w:bidi="es-AR"/>
        </w:rPr>
        <w:t xml:space="preserve">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que instaurara Regina Aldana De Angelis contra Julio Adrián Diaz, Lucas Hernet y RIO URUGUAY  Coop. de Seguros Ltda. Aplicó las costas a la parte actora vencida.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Apela la parte actora el 16-4-2025, recurso que es concedido libremente el 24-4-2025. </w:t>
      </w:r>
    </w:p>
    <w:p>
      <w:pPr>
        <w:pStyle w:val="[Normal]"/>
        <w:spacing w:line="360" w:lineRule="auto"/>
        <w:ind w:firstLine="1134"/>
        <w:jc w:val="both"/>
        <w:rPr>
          <w:lang w:val="es-AR" w:eastAsia="es-AR" w:bidi="es-AR"/>
        </w:rPr>
      </w:pPr>
      <w:r>
        <w:rPr>
          <w:lang w:val="es-AR" w:eastAsia="es-AR" w:bidi="es-AR"/>
        </w:rPr>
        <w:t xml:space="preserve">Ingresados los autos a esta Alzada el 24-4-2025, se ordena exprese agravios la recurrente el 6-5-2025 efectuándolo el 19-5-2025, conferido el traslado pertinente es contestado por la parte demandada el 26-5-2025 y por la citada en garantía el 28-5-2025, no habiendo el accionado Lucas Hernet contestado el traslado se le dió por perdido el derecho dejado de usar, llamándose autos para sentencia,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La apelante funda sus agravios, en la existencia de una errónea valoración de la prueba por parte del juez de grado, en tanto la sentencia recurrida se basa exclusivamente en la ausencia de una pericia mecánica concluyente para rechazar la demanda, omitiendo valorar de manera integral el resto de las pruebas producidas, especialmente la historia clínica, la pericia médica y los informes hospitalarios, de los cuales surge con claridad que el hecho existió y que causó lesiones graves a la actora. </w:t>
      </w:r>
    </w:p>
    <w:p>
      <w:pPr>
        <w:pStyle w:val="[Normal]"/>
        <w:spacing w:line="360" w:lineRule="auto"/>
        <w:ind w:firstLine="1134"/>
        <w:jc w:val="both"/>
        <w:rPr>
          <w:lang w:val="es-AR" w:eastAsia="es-AR" w:bidi="es-AR"/>
        </w:rPr>
      </w:pPr>
      <w:r>
        <w:rPr>
          <w:lang w:val="es-AR" w:eastAsia="es-AR" w:bidi="es-AR"/>
        </w:rPr>
        <w:t xml:space="preserve">Alega que el demandado fue declarado rebelde, y no se opuso específicamente a la descripción de la mecánica del siniestro, limitándose a cuestionar su falta de legitimación pasiva. La citada en garantía negó los hechos en forma genérica y fundó su defensa en la falta de cobertura, sin aportar prueba alguna que desvirtúe lo afirmado en la demanda.</w:t>
      </w:r>
    </w:p>
    <w:p>
      <w:pPr>
        <w:pStyle w:val="[Normal]"/>
        <w:spacing w:line="360" w:lineRule="auto"/>
        <w:ind w:firstLine="1134"/>
        <w:jc w:val="both"/>
        <w:rPr>
          <w:lang w:val="es-AR" w:eastAsia="es-AR" w:bidi="es-AR"/>
        </w:rPr>
      </w:pPr>
      <w:r>
        <w:rPr>
          <w:lang w:val="es-AR" w:eastAsia="es-AR" w:bidi="es-AR"/>
        </w:rPr>
        <w:t xml:space="preserve">Que consta en el expediente que tanto la actora como el demandado recibieron atención hospitalaria el día del siniestro, presentando lesiones compatibles con un accidente en la vía pública entre dos motocicletas. Además, la perito médica concluyó que las lesiones sufridas por la actora derivaron del hecho relatado.</w:t>
      </w:r>
    </w:p>
    <w:p>
      <w:pPr>
        <w:pStyle w:val="[Normal]"/>
        <w:spacing w:line="360" w:lineRule="auto"/>
        <w:ind w:firstLine="1134"/>
        <w:jc w:val="both"/>
        <w:rPr>
          <w:lang w:val="es-AR" w:eastAsia="es-AR" w:bidi="es-AR"/>
        </w:rPr>
      </w:pPr>
      <w:r>
        <w:rPr>
          <w:lang w:val="es-AR" w:eastAsia="es-AR" w:bidi="es-AR"/>
        </w:rPr>
        <w:t xml:space="preserve">Y, que aun cuando no se haya acreditado con precisión la posición exacta de los rodados o la velocidad, ello no impide establecer la existencia de un nexo de causalidad adecuado entre el hecho y el daño. La prueba médica y documental permite concluir que el accidente ocurrió en los términos invocados y que el daño fue consecuencia directa del mismo.</w:t>
      </w:r>
    </w:p>
    <w:p>
      <w:pPr>
        <w:pStyle w:val="[Normal]"/>
        <w:spacing w:line="360" w:lineRule="auto"/>
        <w:ind w:firstLine="1134"/>
        <w:jc w:val="both"/>
        <w:rPr>
          <w:lang w:val="es-AR" w:eastAsia="es-AR" w:bidi="es-AR"/>
        </w:rPr>
      </w:pPr>
      <w:r>
        <w:rPr>
          <w:lang w:val="es-AR" w:eastAsia="es-AR" w:bidi="es-AR"/>
        </w:rPr>
        <w:t xml:space="preserve">Aduce que el juez omitió aplicar correctamente el art. 1757 del Código Civil y Comercial, que impone responsabilidad al dueño o guardián de una cosa riesgosa, como es un motovehículo en movimiento. No se probó en autos la presencia de ninguna eximente (hecho de la víctima, de un tercero o caso fortuito) que permita interrumpir el nexo causal, por lo que corresponde atribuir responsabilidad al demandado.</w:t>
      </w:r>
    </w:p>
    <w:p>
      <w:pPr>
        <w:pStyle w:val="[Normal]"/>
        <w:spacing w:line="360" w:lineRule="auto"/>
        <w:ind w:firstLine="1134"/>
        <w:jc w:val="both"/>
        <w:rPr>
          <w:lang w:val="es-AR" w:eastAsia="es-AR" w:bidi="es-AR"/>
        </w:rPr>
      </w:pPr>
      <w:r>
        <w:rPr>
          <w:lang w:val="es-AR" w:eastAsia="es-AR" w:bidi="es-AR"/>
        </w:rPr>
        <w:t xml:space="preserve">Hace reserva del caso federal y solicita se revoque la sentencia apelada y se haga lugar a la demanda, con costas.</w:t>
      </w:r>
    </w:p>
    <w:p>
      <w:pPr>
        <w:pStyle w:val="[Normal]"/>
        <w:spacing w:line="360" w:lineRule="auto"/>
        <w:ind w:firstLine="1134"/>
        <w:jc w:val="both"/>
        <w:rPr>
          <w:lang w:val="es-AR" w:eastAsia="es-AR" w:bidi="es-AR"/>
        </w:rPr>
      </w:pPr>
      <w:r>
        <w:rPr>
          <w:lang w:val="es-AR" w:eastAsia="es-AR" w:bidi="es-AR"/>
        </w:rPr>
        <w:t xml:space="preserve">A su turno contesta el traslado el codemandado Julio Adrián Diaz quien expresa que los agravios de la actora contra la sentencia de primera instancia se limitan a expresar que hubo un choque con lesiones para la actora y demandada y que esta última no contesto la demanda, y que lo concreto y real es que no demostró con pruebas ni en la causa penal ni civil el hecho y su producción y es más las pruebas en la causa penal y posición de las motos involucradas es a la inversa de lo expresado por la actora.-</w:t>
      </w:r>
    </w:p>
    <w:p>
      <w:pPr>
        <w:pStyle w:val="[Normal]"/>
        <w:spacing w:line="360" w:lineRule="auto"/>
        <w:ind w:firstLine="1134"/>
        <w:jc w:val="both"/>
        <w:rPr>
          <w:lang w:val="es-AR" w:eastAsia="es-AR" w:bidi="es-AR"/>
        </w:rPr>
      </w:pPr>
      <w:r>
        <w:rPr>
          <w:lang w:val="es-AR" w:eastAsia="es-AR" w:bidi="es-AR"/>
        </w:rPr>
        <w:t xml:space="preserve">En resumen que la sentencia de primera instancia se fundó en lo aportado por las partes y al respecto la actora no justificó en ninguna instancia su reclamo y así debe en consecuencia ser confirmado la sentencia con el rechazo de la demanda en todas sus partes.</w:t>
      </w:r>
    </w:p>
    <w:p>
      <w:pPr>
        <w:pStyle w:val="[Normal]"/>
        <w:spacing w:line="360" w:lineRule="auto"/>
        <w:ind w:firstLine="1134"/>
        <w:jc w:val="both"/>
        <w:rPr>
          <w:lang w:val="es-AR" w:eastAsia="es-AR" w:bidi="es-AR"/>
        </w:rPr>
      </w:pPr>
      <w:r>
        <w:rPr>
          <w:lang w:val="es-AR" w:eastAsia="es-AR" w:bidi="es-AR"/>
        </w:rPr>
        <w:t xml:space="preserve">Reitera que ha negado la colisión en sí y porque no ha sido parte, que la motocicleta la ha vendido al señor Sergio Javier Hernet por boleto de compraventa habiendo en su consecuencia ANULADO el seguro que tenia en EL TRIUNFO SEGUROS COMPAÑIA DE SEGUROS LTDA. EL DÍA 19-12-2019 HORA 18:00 y con vigencia hasta el día 20-12-2019 hora 12:00. Que, la motocicleta embistente estaba conducida por el señor Lucas Hernet a quien no conoce ni se halla unido por relación laboral o afectiva alguna, y se hallaba en dicha ocasión registralmente a su nombre, con la aclaración que había sido vendido por boleto de compraventa con fecha 18-12-2019 al señor Sergio Javier Hernet DNI 29.832.587 domiciliado en calle 3 N°555 de Pergamino en la suma de $60.000.-</w:t>
      </w:r>
    </w:p>
    <w:p>
      <w:pPr>
        <w:pStyle w:val="[Normal]"/>
        <w:spacing w:line="360" w:lineRule="auto"/>
        <w:ind w:firstLine="1134"/>
        <w:jc w:val="both"/>
        <w:rPr>
          <w:lang w:val="es-AR" w:eastAsia="es-AR" w:bidi="es-AR"/>
        </w:rPr>
      </w:pPr>
      <w:r>
        <w:rPr>
          <w:lang w:val="es-AR" w:eastAsia="es-AR" w:bidi="es-AR"/>
        </w:rPr>
        <w:t xml:space="preserve">En definitiva solicita se confirme la sentencia, rechazando los agravios expresados por la actora, con costas.</w:t>
      </w:r>
    </w:p>
    <w:p>
      <w:pPr>
        <w:pStyle w:val="[Normal]"/>
        <w:spacing w:line="360" w:lineRule="auto"/>
        <w:ind w:firstLine="1134"/>
        <w:jc w:val="both"/>
        <w:rPr>
          <w:lang w:val="es-AR" w:eastAsia="es-AR" w:bidi="es-AR"/>
        </w:rPr>
      </w:pPr>
      <w:r>
        <w:rPr>
          <w:lang w:val="es-AR" w:eastAsia="es-AR" w:bidi="es-AR"/>
        </w:rPr>
        <w:t xml:space="preserve">Oportunamente, contesta los agravios el apoderado de la citada en garantía, haciéndolo separadamente, punto por punto, como transcribo a continuación:</w:t>
      </w:r>
    </w:p>
    <w:p>
      <w:pPr>
        <w:pStyle w:val="[Normal]"/>
        <w:spacing w:line="360" w:lineRule="auto"/>
        <w:ind w:firstLine="1134"/>
        <w:jc w:val="both"/>
        <w:rPr>
          <w:lang w:val="es-AR" w:eastAsia="es-AR" w:bidi="es-AR"/>
        </w:rPr>
      </w:pPr>
      <w:r>
        <w:rPr>
          <w:lang w:val="es-AR" w:eastAsia="es-AR" w:bidi="es-AR"/>
        </w:rPr>
        <w:t xml:space="preserve">Expone que la actora insiste en su postura de que la sentencia de grado adolece de una incorrecta apreciación de las pruebas, pero tal afirmación no se condice con el minucioso análisis que el Juez de primera instancia realizó. Lejos de ello, el magistrado ha basado su decisión en la palmaria insuficiencia probatoria respecto a un elemento axial en este tipo de controversias: la determinación fehaciente de la mecánica del accidente Que la apelante desestima la trascendencia de las pericias mecánica y planimétrica, pero olvida que estas constituyen elementos de prueba fundamentales para la reconstrucción del siniestro, y que la perito interviniente en la causa penal, María Soledad Emile, fue clara en su dictamen al manifestar la imposibilidad de determinar el sentido de circulación de los vehículos y la falta de precisión en la descripción de los daños, lo cual impedía establecer la dinámica del impacto. Y, en similar sentido, el perito oficial Javier Telmo Ferretti, en su informe pericial, concluyó que carecía de elementos técnicos objetivos para describir la mecánica del accidente, las velocidades de los rodados y la forma en que se produjo la colisión.</w:t>
      </w:r>
    </w:p>
    <w:p>
      <w:pPr>
        <w:pStyle w:val="[Normal]"/>
        <w:spacing w:line="360" w:lineRule="auto"/>
        <w:ind w:firstLine="1134"/>
        <w:jc w:val="both"/>
        <w:rPr>
          <w:lang w:val="es-AR" w:eastAsia="es-AR" w:bidi="es-AR"/>
        </w:rPr>
      </w:pPr>
      <w:r>
        <w:rPr>
          <w:lang w:val="es-AR" w:eastAsia="es-AR" w:bidi="es-AR"/>
        </w:rPr>
        <w:t xml:space="preserve">Resalta como punto a destacar que la actora no formuló objeción alguna a estas pericias en la etapa procesal oportuna, lo que consolida su valor probatorio.</w:t>
      </w:r>
    </w:p>
    <w:p>
      <w:pPr>
        <w:pStyle w:val="[Normal]"/>
        <w:spacing w:line="360" w:lineRule="auto"/>
        <w:ind w:firstLine="1134"/>
        <w:jc w:val="both"/>
        <w:rPr>
          <w:lang w:val="es-AR" w:eastAsia="es-AR" w:bidi="es-AR"/>
        </w:rPr>
      </w:pPr>
      <w:r>
        <w:rPr>
          <w:lang w:val="es-AR" w:eastAsia="es-AR" w:bidi="es-AR"/>
        </w:rPr>
        <w:t xml:space="preserve">Entiende que el Juez a-quo, con criterio acertado, señaló que no existen elementos de prueba que permitan avalar la mecánica del hecho tal como fue postulada por la actora en su demanda y que la falta de precisión en la determinación de la velocidad de los vehículos y la forma en que se produjo el impacto resulta determinante a la hora de establecer responsabilidades. En tanto no basta con alegar la existencia de un accidente; es imprescindible probar cómo se desarrolló el mismo para poder imputar responsabilidad a la contraria.</w:t>
      </w:r>
    </w:p>
    <w:p>
      <w:pPr>
        <w:pStyle w:val="[Normal]"/>
        <w:spacing w:line="360" w:lineRule="auto"/>
        <w:ind w:firstLine="1134"/>
        <w:jc w:val="both"/>
        <w:rPr>
          <w:lang w:val="es-AR" w:eastAsia="es-AR" w:bidi="es-AR"/>
        </w:rPr>
      </w:pPr>
      <w:r>
        <w:rPr>
          <w:lang w:val="es-AR" w:eastAsia="es-AR" w:bidi="es-AR"/>
        </w:rPr>
        <w:t xml:space="preserve">Señala que la actora argumenta que la declaración de rebeldía  del codemandado Lucas Hernet implica una aceptación tácita de la mecánica del hecho, sin embargo, la rebeldía solo exime a la contraria de la carga de probar ciertos hechos, pero no releva a la actora de acreditar los presupuestos de su pretensión, entre ellos, la mecánica del accidente y la relación de causalidad. La falta de contestación de la demanda por parte de uno de los demandados no suple la insuficiencia probatoria respecto a la forma en que se produjo el siniestro.</w:t>
      </w:r>
    </w:p>
    <w:p>
      <w:pPr>
        <w:pStyle w:val="[Normal]"/>
        <w:spacing w:line="360" w:lineRule="auto"/>
        <w:ind w:firstLine="1134"/>
        <w:jc w:val="both"/>
        <w:rPr>
          <w:lang w:val="es-AR" w:eastAsia="es-AR" w:bidi="es-AR"/>
        </w:rPr>
      </w:pPr>
      <w:r>
        <w:rPr>
          <w:lang w:val="es-AR" w:eastAsia="es-AR" w:bidi="es-AR"/>
        </w:rPr>
        <w:t xml:space="preserve">Que la actora confunde la prueba del daño con la prueba de la relación de causalidad. Si bien la documentación médica aportada acredita las lesiones sufridas por la actora, ello no es suficiente para establecer la responsabilidad del demandado y pasa a hacer un distingo entre daño y causalidad, concluyendo que en el caso no se ha logrado acreditar que las lesiones que padece fueron consecuencia directa del accidente de tránsito cuya indemnización reclama, y menos que el mismo haya sido por la culpa del asegurado.</w:t>
      </w:r>
    </w:p>
    <w:p>
      <w:pPr>
        <w:pStyle w:val="[Normal]"/>
        <w:spacing w:line="360" w:lineRule="auto"/>
        <w:ind w:firstLine="1134"/>
        <w:jc w:val="both"/>
        <w:rPr>
          <w:lang w:val="es-AR" w:eastAsia="es-AR" w:bidi="es-AR"/>
        </w:rPr>
      </w:pPr>
      <w:r>
        <w:rPr>
          <w:lang w:val="es-AR" w:eastAsia="es-AR" w:bidi="es-AR"/>
        </w:rPr>
        <w:t xml:space="preserve">Por ello, la falta de prueba sobre la mecánica del accidente impide establecer el nexo causal entre la conducta del demandado y el daño sufrido por la actora. La actora destaca la prueba médica como elemento acreditativo de la relación de causalidad. Sin embargo, la historia clínica y la pericia médica solo prueban la existencia y gravedad de las lesiones, pero no la forma en que se produjeron. Es decir, prueban el "qué" pero no el "cómo".</w:t>
      </w:r>
    </w:p>
    <w:p>
      <w:pPr>
        <w:pStyle w:val="[Normal]"/>
        <w:spacing w:line="360" w:lineRule="auto"/>
        <w:ind w:firstLine="1134"/>
        <w:jc w:val="both"/>
        <w:rPr>
          <w:lang w:val="es-AR" w:eastAsia="es-AR" w:bidi="es-AR"/>
        </w:rPr>
      </w:pPr>
      <w:r>
        <w:rPr>
          <w:lang w:val="es-AR" w:eastAsia="es-AR" w:bidi="es-AR"/>
        </w:rPr>
        <w:t xml:space="preserve">Por todo ello solicita que se rechacen íntegramente los agravios vertidos por la actora y se confirme en todas sus partes la sentencia apelada, con expresa imposición de costas a la recurrente.</w:t>
      </w:r>
    </w:p>
    <w:p>
      <w:pPr>
        <w:pStyle w:val="[Normal]"/>
        <w:spacing w:line="360" w:lineRule="auto"/>
        <w:ind w:firstLine="1134"/>
        <w:jc w:val="both"/>
        <w:rPr>
          <w:lang w:val="es-AR" w:eastAsia="es-AR" w:bidi="es-AR"/>
        </w:rPr>
      </w:pPr>
      <w:r>
        <w:rPr>
          <w:lang w:val="es-AR" w:eastAsia="es-AR" w:bidi="es-AR"/>
        </w:rPr>
        <w:t xml:space="preserve">Entrando a resolver, creo necesario destacar la mecánica del hecho que introdujera la accionante en su demanda, en donde se expresa que ".. en la ciudad de Pergamino, el día 30 de Septiembre del año 2021, siendo las 20:30 horas aproximadamente, me encontraba circulando con mi hijo Gerónimo de dos años por calle El Jilguero, doble sentido de circulación, en dirección a calle Mitre, en mi motocicleta Marca MOTOMEL, Modelo BLIZT, color BLANCA, dominio A090PEC (colocado) de la cual soy titular registral, por mi mano derecha correspondiente, a velocidad reglamentaria, con pleno dominio sobre mi conducido y atenta a las contingencias del tránsito vehicular, momento en el cual, en la intersección con calle Mitre, una motocicleta Marca HONDA Modelo BIZ, dominio 833JFA color NEGRA, que se encuentra bajo la titularidad del Sr. DÍAZ JULIO ADRIAN DNI 16.911.911, que era conducida por el joven HERNET LUCAS DNI 39.785.815, se encontraba circulando también por calle El Jilguero, doble sentido de circulación, por su mano izquierda correspondiente pero, al llegar al lomo de burro que allí se encuentra, éste se cruza de carril, motivo por el cual me impacta de frente".</w:t>
      </w:r>
    </w:p>
    <w:p>
      <w:pPr>
        <w:pStyle w:val="[Normal]"/>
        <w:spacing w:line="360" w:lineRule="auto"/>
        <w:ind w:firstLine="1134"/>
        <w:jc w:val="both"/>
        <w:rPr>
          <w:lang w:val="es-AR" w:eastAsia="es-AR" w:bidi="es-AR"/>
        </w:rPr>
      </w:pPr>
      <w:r>
        <w:rPr>
          <w:lang w:val="es-AR" w:eastAsia="es-AR" w:bidi="es-AR"/>
        </w:rPr>
        <w:t xml:space="preserve">Al respecto, resulta determinante lo señalado por el a quo al sentenciar, sosteniendo que luego de sopesar la prueba colectada en autos, y "... tras haber efectuado un análisis integral de la causa, concluyó que la demandante no logró probar cómo ha sido la mecánica del hecho, ni de que modo se provocó el daño que alegara padecer. En tal sentido, es válido traer a colación que ni la pericia mecánica ni la planimétrica confeccionadas en la causa penal, permiten juzgar acreditado que el hecho se produjera del modo descripto al demandar, máxime teniendo en cuenta que los vehículos involucrados presentan en ellas una posición contraria a la que fuera sostenida por la accionante. Que, amén de lo expuesto, tampoco logró acreditarse la velocidad a la que los vehículos se desplazaban y con ello lograr inferir cómo se desencadenó el hecho".</w:t>
      </w:r>
    </w:p>
    <w:p>
      <w:pPr>
        <w:pStyle w:val="[Normal]"/>
        <w:spacing w:line="360" w:lineRule="auto"/>
        <w:ind w:firstLine="1134"/>
        <w:jc w:val="both"/>
        <w:rPr>
          <w:lang w:val="es-AR" w:eastAsia="es-AR" w:bidi="es-AR"/>
        </w:rPr>
      </w:pPr>
      <w:r>
        <w:rPr>
          <w:lang w:val="es-AR" w:eastAsia="es-AR" w:bidi="es-AR"/>
        </w:rPr>
        <w:t xml:space="preserve">Para lo cual y al tratar la responsabilidad, señaló que "...asumiendo a modo hipotético que, en el caso, se encontraran acreditados los restantes presupuesto de la responsabilidad, como resulta de lo analizado al tratar los hechos, la relación de causalidad no se encuentra probada, ya que no se ha demostrado como ocurrió el accidente...En consecuencia, ante la clara falta de demostración de uno de los presupuestos básicos para la atribución de responsabilidad, cual es la relación de causalidad entre el daño y el riesgo de la cosa, la pretensión contenida en demanda no podrá prosperar".</w:t>
      </w:r>
    </w:p>
    <w:p>
      <w:pPr>
        <w:pStyle w:val="[Normal]"/>
        <w:spacing w:line="360" w:lineRule="auto"/>
        <w:ind w:firstLine="1134"/>
        <w:jc w:val="both"/>
        <w:rPr>
          <w:lang w:val="es-AR" w:eastAsia="es-AR" w:bidi="es-AR"/>
        </w:rPr>
      </w:pPr>
      <w:r>
        <w:rPr>
          <w:lang w:val="es-AR" w:eastAsia="es-AR" w:bidi="es-AR"/>
        </w:rPr>
        <w:t xml:space="preserve">No puedo más que concluir en que el razonamiento y argumentación del juez primero en sentenciar, es impecable y sobre el cual la recurrente no logra revertir, sino que se desentiende del mismo, en tanto que su parte no controvierte el argumento central de la sentencia , esto es que el hecho descripto en demanda tenga correlato posible.</w:t>
      </w:r>
    </w:p>
    <w:p>
      <w:pPr>
        <w:pStyle w:val="[Normal]"/>
        <w:spacing w:line="360" w:lineRule="auto"/>
        <w:ind w:firstLine="1134"/>
        <w:jc w:val="both"/>
        <w:rPr>
          <w:lang w:val="es-AR" w:eastAsia="es-AR" w:bidi="es-AR"/>
        </w:rPr>
      </w:pPr>
      <w:r>
        <w:rPr>
          <w:lang w:val="es-AR" w:eastAsia="es-AR" w:bidi="es-AR"/>
        </w:rPr>
        <w:t xml:space="preserve">En materia de responsabilidad civil, la carga de la prueba del hecho ilícito y del daño corresponde a quien lo invoca (art. 375 del CPCC).</w:t>
      </w:r>
    </w:p>
    <w:p>
      <w:pPr>
        <w:pStyle w:val="[Normal]"/>
        <w:spacing w:line="360" w:lineRule="auto"/>
        <w:ind w:firstLine="1134"/>
        <w:jc w:val="both"/>
        <w:rPr>
          <w:lang w:val="es-AR" w:eastAsia="es-AR" w:bidi="es-AR"/>
        </w:rPr>
      </w:pPr>
      <w:r>
        <w:rPr>
          <w:lang w:val="es-AR" w:eastAsia="es-AR" w:bidi="es-AR"/>
        </w:rPr>
        <w:t xml:space="preserve">Si bien el acceso a la justicia exige una valoración integral, no puede prescindirse de que, para prosperar una pretensión indemnizatoria, debe estar acreditado al menos de modo verosímil y suficiente el acaecimiento del suceso, su modalidad y la vinculación causal con el daño alegado.</w:t>
      </w:r>
    </w:p>
    <w:p>
      <w:pPr>
        <w:pStyle w:val="[Normal]"/>
        <w:spacing w:line="360" w:lineRule="auto"/>
        <w:ind w:firstLine="1134"/>
        <w:jc w:val="both"/>
        <w:rPr>
          <w:lang w:val="es-AR" w:eastAsia="es-AR" w:bidi="es-AR"/>
        </w:rPr>
      </w:pPr>
      <w:r>
        <w:rPr>
          <w:lang w:val="es-AR" w:eastAsia="es-AR" w:bidi="es-AR"/>
        </w:rPr>
        <w:t xml:space="preserve">Es así, que en el caso noto un importante déficit probatorio, y como lo señala el a quo "... teniendo en cuenta que los vehículos involucrados presentan en ellas una posición contraria a la que fuera sostenida por la accionante", a lo cual debo agregar que tampoco surge de la pericia accidentológica producida tanto en la causa penal, como en los presentes autos la existencia de "lomo de burro" alguno como señala la actora en su demanda, y tal ausencia torna inverosímil el relato sobre la supuesta maniobra que habría motivado el siniestro.</w:t>
      </w:r>
    </w:p>
    <w:p>
      <w:pPr>
        <w:pStyle w:val="[Normal]"/>
        <w:spacing w:line="360" w:lineRule="auto"/>
        <w:ind w:firstLine="1134"/>
        <w:jc w:val="both"/>
        <w:rPr>
          <w:lang w:val="es-AR" w:eastAsia="es-AR" w:bidi="es-AR"/>
        </w:rPr>
      </w:pPr>
      <w:r>
        <w:rPr>
          <w:lang w:val="es-AR" w:eastAsia="es-AR" w:bidi="es-AR"/>
        </w:rPr>
        <w:t xml:space="preserve">Es por ello, que el relato de la actora sobre el supuesto contacto entre ambas motocicletas y el lomo de burro que, según su versión, habría motivado la maniobra que derivó en la colisión y posterior caída, carece de respaldo probatorio. Ni en sede penal ni en esta sede civil obran pericias mecánicas que acrediten de modo técnico la existencia de dicho contacto, ni testimonios que permitan reconstruir de manera objetiva la dinámica del accidente, por lo cual la hipótesis de demanda se transforma en meramente conjetural.</w:t>
      </w:r>
    </w:p>
    <w:p>
      <w:pPr>
        <w:pStyle w:val="[Normal]"/>
        <w:spacing w:line="360" w:lineRule="auto"/>
        <w:ind w:firstLine="1134"/>
        <w:jc w:val="both"/>
        <w:rPr>
          <w:lang w:val="es-AR" w:eastAsia="es-AR" w:bidi="es-AR"/>
        </w:rPr>
      </w:pPr>
      <w:r>
        <w:rPr>
          <w:lang w:val="es-AR" w:eastAsia="es-AR" w:bidi="es-AR"/>
        </w:rPr>
        <w:t xml:space="preserve">Como ha señalado el a quo, el croquis del lugar y la pericia accidentológica incorporados a la causa penal ubican a los vehículos involucrados en posiciones distintas a las sostenidas en la demanda, lo que genera una discordancia importante respecto de la versión ofrecida por la actora y tal contradicción no ha sido adecuadamente explicada ni desvirtuada por otra prueba, máxime que no existen testigos ni otra prueba que la confirme.</w:t>
      </w:r>
    </w:p>
    <w:p>
      <w:pPr>
        <w:pStyle w:val="[Normal]"/>
        <w:spacing w:line="360" w:lineRule="auto"/>
        <w:ind w:firstLine="1134"/>
        <w:jc w:val="both"/>
        <w:rPr>
          <w:lang w:val="es-AR" w:eastAsia="es-AR" w:bidi="es-AR"/>
        </w:rPr>
      </w:pPr>
      <w:r>
        <w:rPr>
          <w:lang w:val="es-AR" w:eastAsia="es-AR" w:bidi="es-AR"/>
        </w:rPr>
        <w:t xml:space="preserve">Y, siendo que a su parte quien correspondía la carga de ello, esto es probar la existencia del daño y su relación de causalidad, esto es la conexión con el hecho ilícito, por imperativo legal (arts. 375 y 165 del C.P.C.).</w:t>
      </w:r>
    </w:p>
    <w:p>
      <w:pPr>
        <w:pStyle w:val="[Normal]"/>
        <w:spacing w:line="360" w:lineRule="auto"/>
        <w:ind w:firstLine="1134"/>
        <w:jc w:val="both"/>
        <w:rPr>
          <w:lang w:val="es-AR" w:eastAsia="es-AR" w:bidi="es-AR"/>
        </w:rPr>
      </w:pPr>
      <w:r>
        <w:rPr>
          <w:lang w:val="es-AR" w:eastAsia="es-AR" w:bidi="es-AR"/>
        </w:rPr>
        <w:t xml:space="preserve">Es así, que en nuestro caso, no se ha probado ni la existencia de un hecho dañoso atribuible a una conducta negligente o imprudente del demandado (art. 1724 CCyCN), ni la configuración del supuesto previsto en el art. 1757 CCyCN relativo a la responsabilidad por riesgo o vicio de la cosa riesgosa (la motocicleta), toda vez que no se ha acreditado siquiera la intervención activa del vehículo del demandado en el hecho generador del daño.</w:t>
      </w:r>
    </w:p>
    <w:p>
      <w:pPr>
        <w:pStyle w:val="[Normal]"/>
        <w:spacing w:line="360" w:lineRule="auto"/>
        <w:ind w:firstLine="1134"/>
        <w:jc w:val="both"/>
        <w:rPr>
          <w:lang w:val="es-AR" w:eastAsia="es-AR" w:bidi="es-AR"/>
        </w:rPr>
      </w:pPr>
      <w:r>
        <w:rPr>
          <w:lang w:val="es-AR" w:eastAsia="es-AR" w:bidi="es-AR"/>
        </w:rPr>
        <w:t xml:space="preserve">Es que no basta haber sufrido un daño para que ello sea suficiente título de la respectiva indemnización pues es menester establecer el nexo de causalidad entre ese efecto dañoso y el hecho que suscita la responsabilidad en cuestión, en cuanto ese hecho sea el factor por el cual ocurrió el daño reclamado.</w:t>
      </w:r>
    </w:p>
    <w:p>
      <w:pPr>
        <w:pStyle w:val="[Normal]"/>
        <w:spacing w:line="360" w:lineRule="auto"/>
        <w:ind w:firstLine="1134"/>
        <w:jc w:val="both"/>
        <w:rPr>
          <w:lang w:val="es-AR" w:eastAsia="es-AR" w:bidi="es-AR"/>
        </w:rPr>
      </w:pPr>
      <w:r>
        <w:rPr>
          <w:lang w:val="es-AR" w:eastAsia="es-AR" w:bidi="es-AR"/>
        </w:rPr>
        <w:t xml:space="preserve">Es por ello que, ante la falta de prueba suficiente sobre la existencia de contacto entre ambos rodados, de una maniobra riesgosa, o de algún defecto en la cosa conducida por el demandado, impide atribuirle responsabilidad alguna, bajo cualquiera de los regímenes posibles, por lo cual corresponde confirmar la sentencia apelada en cuanto rechaza la demanda promovida, imponiendo las costas de alzada a la actora vencida (art. 68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de primera instancia en todas sus partes,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Difiriendo la regulación de honorarios de los letrados intervinientes y de los peritos, hasta el momento oportuno (Arts. 51 y ccs. ley 14.967).</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y en su mérito confirmar la sentencia de primera instancia en todas sus partes, con costas a la apelante vencida (Art. 68 del C.P.C y C.).-</w:t>
      </w:r>
    </w:p>
    <w:p>
      <w:pPr>
        <w:pStyle w:val="[Normal]"/>
        <w:spacing w:line="360" w:lineRule="auto"/>
        <w:ind w:firstLine="1134"/>
        <w:jc w:val="both"/>
        <w:rPr>
          <w:lang w:val="es-AR" w:eastAsia="es-AR" w:bidi="es-AR"/>
        </w:rPr>
      </w:pPr>
      <w:r>
        <w:rPr>
          <w:lang w:val="es-AR" w:eastAsia="es-AR" w:bidi="es-AR"/>
        </w:rPr>
        <w:t xml:space="preserve">Difiriendo la regulación de honorarios de los letrados intervinientes y de los peritos, hasta el momento oportuno (Arts. 51 y ccs.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10:38:48 -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10:46:40 -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12/08/2025 12:58:05 -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‰7\")è&amp;]zCEŠ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236002090006619035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12/08/2025 12:58:19 hs. bajo el número RS-104-2025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