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i/>
          <w:color w:val="000000"/>
          <w:lang w:val="es-AR" w:eastAsia="es-AR" w:bidi="es-AR"/>
        </w:rPr>
        <w:t xml:space="preserve">5656-25</w:t>
      </w:r>
      <w:r>
        <w:rPr>
          <w:lang w:val="es-AR" w:eastAsia="es-AR" w:bidi="es-AR"/>
        </w:rPr>
        <w:t xml:space="preserve"> caratulados </w:t>
      </w:r>
      <w:r>
        <w:rPr>
          <w:b/>
          <w:i/>
          <w:lang w:val="es-AR" w:eastAsia="es-AR" w:bidi="es-AR"/>
        </w:rPr>
        <w:t xml:space="preserve">"</w:t>
      </w:r>
      <w:r>
        <w:rPr>
          <w:b/>
          <w:i/>
          <w:color w:val="000000"/>
          <w:lang w:val="es-AR" w:eastAsia="es-AR" w:bidi="es-AR"/>
        </w:rPr>
        <w:t xml:space="preserve">PERALTA CARLOS HORACIO C/ ROCES MARIO Y OTRO/A S/ DAÑOS Y PERJ.AUTOM. C/LES. O MUERTE (EXC.ESTADO)</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-76678-</w:t>
      </w:r>
      <w:r>
        <w:rPr>
          <w:lang w:val="es-AR" w:eastAsia="es-AR" w:bidi="es-AR"/>
        </w:rPr>
        <w:t xml:space="preserve"> del Juzgado en lo Civil y Comercial N° 1, encontrándose el Dr. Roberto Degleue excusado en fecha 27-5-2025, se ordenó la integración de este Tribunal y se practicó el sorteo de ley que determinó que la votación debía efectuarse en el siguiente orden: Graciela Scaraffia y Walter Giuliani 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 </w:t>
      </w:r>
      <w:r>
        <w:rPr>
          <w:color w:val="000000"/>
          <w:lang w:val="es-AR" w:eastAsia="es-AR" w:bidi="es-AR"/>
        </w:rPr>
        <w:t xml:space="preserve">dijo:</w:t>
      </w:r>
    </w:p>
    <w:p>
      <w:pPr>
        <w:pStyle w:val="[Normal]"/>
        <w:spacing w:line="360" w:lineRule="auto"/>
        <w:ind w:firstLine="1134"/>
        <w:jc w:val="both"/>
        <w:rPr>
          <w:lang w:val="es-AR" w:eastAsia="es-AR" w:bidi="es-AR"/>
        </w:rPr>
      </w:pPr>
      <w:r>
        <w:rPr>
          <w:color w:val="000000"/>
          <w:lang w:val="es-AR" w:eastAsia="es-AR" w:bidi="es-AR"/>
        </w:rPr>
        <w:t xml:space="preserve">El Sr. Juez de la anterior instancia rechazó</w:t>
      </w:r>
      <w:r>
        <w:rPr>
          <w:lang w:val="es-AR" w:eastAsia="es-AR" w:bidi="es-AR"/>
        </w:rPr>
        <w:t xml:space="preserve"> la demanda incoada por el Sr. Carlos Horacio Peralta por Daños y Perjuicios contra el Sr. Mario Reinerio Roces y contra la citada en garantía San Cristóbal SMSG..  Aplicó las costas a la parte actora, que resulta vencida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(14-3-2025), concedido libremente (17-3-2025).  Elevados los autos a esta Alzada con fecha 10-6-2025 se ordenó expresar agravios a la parte actora, quien los fundó el 23-6-2025 y del mismo traslado a la parte demandada, quien lo evacuo el 7-7-2025.  Con fecha 8-7-2025 llamamiento de autos providencia, que firme a la fecha deja  la causa en condiciones de ser fallada.- </w:t>
      </w:r>
    </w:p>
    <w:p>
      <w:pPr>
        <w:pStyle w:val="[Normal]"/>
        <w:spacing w:line="360" w:lineRule="auto"/>
        <w:ind w:firstLine="1134"/>
        <w:jc w:val="both"/>
        <w:rPr>
          <w:color w:val="000000"/>
          <w:lang w:val="es-AR" w:eastAsia="es-AR" w:bidi="es-AR"/>
        </w:rPr>
      </w:pPr>
      <w:r>
        <w:rPr>
          <w:color w:val="000000"/>
          <w:lang w:val="es-AR" w:eastAsia="es-AR" w:bidi="es-AR"/>
        </w:rPr>
        <w:t xml:space="preserve">Los agravios se deslizan sobre la valoración probatoria achacando una interpretación forzada de la IPP de la que desprende que "el actor estaba violando la línea amarilla que delimita ambos carriles y que circulaba en contramano".  Señala que esta afirmación del aquo no se desprende de ningún elemento de prueba y que la construcción de la mecánica del accidente fue diseñada por el operador achacando ambigüedad y subjetividad.-</w:t>
      </w:r>
    </w:p>
    <w:p>
      <w:pPr>
        <w:pStyle w:val="[Normal]"/>
        <w:spacing w:line="360" w:lineRule="auto"/>
        <w:ind w:firstLine="1134"/>
        <w:jc w:val="both"/>
        <w:rPr>
          <w:color w:val="000000"/>
          <w:lang w:val="es-AR" w:eastAsia="es-AR" w:bidi="es-AR"/>
        </w:rPr>
      </w:pPr>
      <w:r>
        <w:rPr>
          <w:color w:val="000000"/>
          <w:lang w:val="es-AR" w:eastAsia="es-AR" w:bidi="es-AR"/>
        </w:rPr>
        <w:t xml:space="preserve">El segundo punto lo motiva en la responsabilidad alegando que la demandada intentó doblar a la izquierda para tomar la Ruta 188 y en tal caso debió maximizar su deber de cuidado, provocando con su conducta el accidente.-</w:t>
      </w:r>
    </w:p>
    <w:p>
      <w:pPr>
        <w:pStyle w:val="[Normal]"/>
        <w:spacing w:line="360" w:lineRule="auto"/>
        <w:ind w:firstLine="1134"/>
        <w:jc w:val="both"/>
        <w:rPr>
          <w:color w:val="000000"/>
          <w:lang w:val="es-AR" w:eastAsia="es-AR" w:bidi="es-AR"/>
        </w:rPr>
      </w:pPr>
      <w:r>
        <w:rPr>
          <w:color w:val="000000"/>
          <w:lang w:val="es-AR" w:eastAsia="es-AR" w:bidi="es-AR"/>
        </w:rPr>
        <w:t xml:space="preserve">A su turno contesta el memorial el apoderado de la parte demandada señalando que la apreciación de la prueba y selección de la misma corresponde el juez de grado, eligiendo unas y descartando otras y no se avisora como sostiene la contraria una interpretación forzada de las constancias de la causa que llevaron al rechazo.  Lo mismo en punto a la responsabilidad que dice bien analizada por la sentencia de grado.-</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se desprende que la pretensión se ha motivado sobre "un siniestro acaecido el 24 de abril de 2019 cerca del mediodía, sobre la ruta nacional Nro 188 a la altura de la calle 10 de la ciudad de Pergamino, describiendo el actor que se encontraba circulando a bordo de su motocicleta marza Zanella, Dominio A11WAD año 2016 en dirección sur-norte cuando relata que al llegar a la altura de calle 10 es embestido imprevistamente por una camioneta Toyota conducida por Mario Reineiro Roces quien se desplazaba por calle 10, señalando que accede a la ruta y dobla hacia la izquierda y ni bien termina de incorporarse al carril de circulación colisiona con su motocicleta.  Que ello le provoca la pérdida del equilibrio y las lesiones que enumera".-</w:t>
      </w:r>
    </w:p>
    <w:p>
      <w:pPr>
        <w:pStyle w:val="[Normal]"/>
        <w:spacing w:line="360" w:lineRule="auto"/>
        <w:ind w:firstLine="1134"/>
        <w:jc w:val="both"/>
        <w:rPr>
          <w:color w:val="000000"/>
          <w:lang w:val="es-AR" w:eastAsia="es-AR" w:bidi="es-AR"/>
        </w:rPr>
      </w:pPr>
      <w:r>
        <w:rPr>
          <w:color w:val="000000"/>
          <w:lang w:val="es-AR" w:eastAsia="es-AR" w:bidi="es-AR"/>
        </w:rPr>
        <w:t xml:space="preserve">La demanda fue rechazada por el juez de grado y ello motiva la queja traída.  Contrariamente a lo sostenido por el apelante, entiendo que el operador ha evaluado correctamente los elementos de prueba producidos en autos que lo llevaron al resultado desestimatorio.-</w:t>
      </w:r>
    </w:p>
    <w:p>
      <w:pPr>
        <w:pStyle w:val="[Normal]"/>
        <w:spacing w:line="360" w:lineRule="auto"/>
        <w:ind w:firstLine="1134"/>
        <w:jc w:val="both"/>
        <w:rPr>
          <w:color w:val="000000"/>
          <w:lang w:val="es-AR" w:eastAsia="es-AR" w:bidi="es-AR"/>
        </w:rPr>
      </w:pPr>
      <w:r>
        <w:rPr>
          <w:color w:val="000000"/>
          <w:lang w:val="es-AR" w:eastAsia="es-AR" w:bidi="es-AR"/>
        </w:rPr>
        <w:t xml:space="preserve">En efecto la pericia mecánica meritada si bien describe el lugar en forma específica y recurriendo a Google Maps, en lo atinente a la mecánica dice claramente el experto que carece de elementos técnicos para describir movimientos posteriores al contacto, velocidad de circulación previa de la motocicleta, fijando la de la camioneta Toyota en 23 Km/h.-</w:t>
      </w:r>
    </w:p>
    <w:p>
      <w:pPr>
        <w:pStyle w:val="[Normal]"/>
        <w:spacing w:line="360" w:lineRule="auto"/>
        <w:ind w:firstLine="1134"/>
        <w:jc w:val="both"/>
        <w:rPr>
          <w:color w:val="000000"/>
          <w:lang w:val="es-AR" w:eastAsia="es-AR" w:bidi="es-AR"/>
        </w:rPr>
      </w:pPr>
      <w:r>
        <w:rPr>
          <w:color w:val="000000"/>
          <w:lang w:val="es-AR" w:eastAsia="es-AR" w:bidi="es-AR"/>
        </w:rPr>
        <w:t xml:space="preserve">De la prueba confesional (12/07/2023) extrajo que a la altura de la intersección con calle 10 obre la mano de circulación del actor, o sea sobre el carril de la ruta 188 sentido norte-sur el mismo estaba totalmente ocupado por vehículos, inclusive camiones de gran porte, y que el actor se encontró con la pick up que había girado desde la calle 10 ingresando correctamente a la ruta por su mano de marcha en dirección norte-sur-</w:t>
      </w:r>
    </w:p>
    <w:p>
      <w:pPr>
        <w:pStyle w:val="[Normal]"/>
        <w:spacing w:line="360" w:lineRule="auto"/>
        <w:ind w:firstLine="1134"/>
        <w:jc w:val="both"/>
        <w:rPr>
          <w:color w:val="000000"/>
          <w:lang w:val="es-AR" w:eastAsia="es-AR" w:bidi="es-AR"/>
        </w:rPr>
      </w:pPr>
      <w:r>
        <w:rPr>
          <w:color w:val="000000"/>
          <w:lang w:val="es-AR" w:eastAsia="es-AR" w:bidi="es-AR"/>
        </w:rPr>
        <w:t xml:space="preserve">También tuvo en cuenta la declaración prestada por el actor en sede penal en la IPP 2847-19/00 de la cual extrae el propio relato del mismo  donde dice que " Como la ruta estaba llena de vehículos, había mucho tránsito de camiones y autos, y el semáforo del Club Viajantes detenía el paso de los mismos, el dicente decide pasar por el medio de la ruta, a la izquierda de los vehículos que estaban sobre ese carril.  Antes de llegar a la calle 10 aparece una chata que provenía de esa calle y desde la derecha del declarante, la cual accede a la ruta y dobla hacia la izquierda como para ir al primer cruce de camiones y ni bien termina de incorporarse al carril acelera sin advertir que venía el declarante en su moto..."</w:t>
      </w:r>
    </w:p>
    <w:p>
      <w:pPr>
        <w:pStyle w:val="[Normal]"/>
        <w:spacing w:line="360" w:lineRule="auto"/>
        <w:ind w:firstLine="1134"/>
        <w:jc w:val="both"/>
        <w:rPr>
          <w:color w:val="000000"/>
          <w:lang w:val="es-AR" w:eastAsia="es-AR" w:bidi="es-AR"/>
        </w:rPr>
      </w:pPr>
      <w:r>
        <w:rPr>
          <w:color w:val="000000"/>
          <w:lang w:val="es-AR" w:eastAsia="es-AR" w:bidi="es-AR"/>
        </w:rPr>
        <w:t xml:space="preserve">Como bien lo explica en su sentencia y no ha sido conmovido en los agravios el propio accionante invadió el carril contrario de circulación estando delimitados los mismos por una doble línea amarilla y se adelantó a contramano respecto de los vehículos que se encontraban detenidos sobre el carril de circulación Sur-Norte de la Ruta 188 y a la espera de continuar su marcha, colisionando el carril contrario al de su circulación, es decir mientras circulaba en contramano contra la Pick Up Toyota Hilux.-</w:t>
      </w:r>
    </w:p>
    <w:p>
      <w:pPr>
        <w:pStyle w:val="[Normal]"/>
        <w:spacing w:line="360" w:lineRule="auto"/>
        <w:ind w:firstLine="1134"/>
        <w:jc w:val="both"/>
        <w:rPr>
          <w:color w:val="000000"/>
          <w:lang w:val="es-AR" w:eastAsia="es-AR" w:bidi="es-AR"/>
        </w:rPr>
      </w:pPr>
      <w:r>
        <w:rPr>
          <w:color w:val="000000"/>
          <w:lang w:val="es-AR" w:eastAsia="es-AR" w:bidi="es-AR"/>
        </w:rPr>
        <w:t xml:space="preserve">Reproche que dice el juez tornarse mayor por cuanto  teniendo en cuenta la presencia de camiones de gran porte detenidos sobre el carril sur norte que impedían la visión de los posibles vehículos que venían circulando por calle 10, la imprudencia del actor adelantándose por el carril contrario a contramano y teniendo una visión obstaculizada por un camión respecto de los vehículos que circulaban por calle 10.-</w:t>
      </w:r>
    </w:p>
    <w:p>
      <w:pPr>
        <w:pStyle w:val="[Normal]"/>
        <w:spacing w:line="360" w:lineRule="auto"/>
        <w:ind w:firstLine="1134"/>
        <w:jc w:val="both"/>
        <w:rPr>
          <w:color w:val="000000"/>
          <w:lang w:val="es-AR" w:eastAsia="es-AR" w:bidi="es-AR"/>
        </w:rPr>
      </w:pPr>
      <w:r>
        <w:rPr>
          <w:color w:val="000000"/>
          <w:lang w:val="es-AR" w:eastAsia="es-AR" w:bidi="es-AR"/>
        </w:rPr>
        <w:t xml:space="preserve">De este modo se consideró probada la ruptura del nexo causal por la propia víctima lo que exime de responsabilidad a la demandada (arts. 1757 y 1758 del Código Civil).-</w:t>
      </w:r>
    </w:p>
    <w:p>
      <w:pPr>
        <w:pStyle w:val="[Normal]"/>
        <w:spacing w:line="360" w:lineRule="auto"/>
        <w:ind w:firstLine="1134"/>
        <w:jc w:val="both"/>
        <w:rPr>
          <w:color w:val="000000"/>
          <w:lang w:val="es-AR" w:eastAsia="es-AR" w:bidi="es-AR"/>
        </w:rPr>
      </w:pPr>
      <w:r>
        <w:rPr>
          <w:color w:val="000000"/>
          <w:lang w:val="es-AR" w:eastAsia="es-AR" w:bidi="es-AR"/>
        </w:rPr>
        <w:t xml:space="preserve">Esa conducta justamente consistió en infringir el deber de cuidado y previsión, al invadir y/o circular en contramano por el carril contrario de la Ruta 188, erigiéndose su conducta en desaprensiva y culposa (arts. 1757, 1758, 1769 y ccs del CCCN).-</w:t>
      </w:r>
    </w:p>
    <w:p>
      <w:pPr>
        <w:pStyle w:val="[Normal]"/>
        <w:spacing w:line="360" w:lineRule="auto"/>
        <w:ind w:firstLine="1134"/>
        <w:jc w:val="both"/>
        <w:rPr>
          <w:color w:val="000000"/>
          <w:lang w:val="es-AR" w:eastAsia="es-AR" w:bidi="es-AR"/>
        </w:rPr>
      </w:pPr>
      <w:r>
        <w:rPr>
          <w:color w:val="000000"/>
          <w:lang w:val="es-AR" w:eastAsia="es-AR" w:bidi="es-AR"/>
        </w:rPr>
        <w:t xml:space="preserve">Otro aporte irrefutable se desprende la prueba instrumental agregada en autos (IPP 2847-19), que se tornara común para las partes y que contiene numerosas diligencias, a saber: Pericia planimétrica y fotográfica de fs. 2 a 9, acta de procedimiento de fs. 16, pericias mecánicas de fs. 27 y 80, documental de fs. 29 a 31, accidentológica de fs. 83 a 86, que llevaron al archivo de las actuaciones penales y donde se concluyera que "la interposición en su camino de la victima al comando de la motocicleta, significó un obstáculo que no se podía preveer normalmente, por la temeridad e impericia conque la victima obró en el evento, al sobrepasar una nutrida y larga hilera de vehículos detenidos ante la prohibición de paso que marcaba un semáforo indicador del tránsito en una zona prohibida especifícamente para el sobrepaso por la indicación de doble linea amarilla sobre el pavimento".-</w:t>
      </w:r>
    </w:p>
    <w:p>
      <w:pPr>
        <w:pStyle w:val="[Normal]"/>
        <w:spacing w:line="360" w:lineRule="auto"/>
        <w:ind w:firstLine="1134"/>
        <w:jc w:val="both"/>
        <w:rPr>
          <w:color w:val="000000"/>
          <w:lang w:val="es-AR" w:eastAsia="es-AR" w:bidi="es-AR"/>
        </w:rPr>
      </w:pPr>
      <w:r>
        <w:rPr>
          <w:color w:val="000000"/>
          <w:lang w:val="es-AR" w:eastAsia="es-AR" w:bidi="es-AR"/>
        </w:rPr>
        <w:t xml:space="preserve">En materia de apreciación de la prueba, el juzgador puede inclinarse por aquella que le merezca mayor fe en concordancia con otros elementos de merito que obran en el expediente.  Se trata de una facultad privativa del magistrado, conforme el artículo 386 del C.P.C.C.  Creo necesario, recordar que las "máximas de experiencia" integran, junto con los principios de la lógica, las reglas de la sana crítica a las que el juzgador debe ajustarse para apreciar la prueba.  Son los principios extraídos de la observación del corriente comportamiento humano y científico verificables, que actúan como fundamentos de posibilidad.  Las reglas o máximas de la experiencia le sirven al Juez para rechazar las afirmaciones del testigo, o la confesión de la parte, o lo relatado en un documento, o las conclusiones que se pretende obtener de los indicios, y hasta el dictamen de peritos, cuando están en contradicción con ellos ( Art. 386 del CPCC).-</w:t>
      </w:r>
    </w:p>
    <w:p>
      <w:pPr>
        <w:pStyle w:val="[Normal]"/>
        <w:spacing w:line="360" w:lineRule="auto"/>
        <w:ind w:firstLine="1134"/>
        <w:jc w:val="both"/>
        <w:rPr>
          <w:color w:val="000000"/>
          <w:lang w:val="es-AR" w:eastAsia="es-AR" w:bidi="es-AR"/>
        </w:rPr>
      </w:pPr>
      <w:r>
        <w:rPr>
          <w:color w:val="000000"/>
          <w:lang w:val="es-AR" w:eastAsia="es-AR" w:bidi="es-AR"/>
        </w:rPr>
        <w:t xml:space="preserve">Con los elementos evaluados del operador civil ha quedado demostrada la ruptura del nexo causal por el aporte del reclamante y la eximición de responsabilidad de la demandada, no logrando conmover los agravios este razonamiento.-</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Walter Giuliani</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traído, confirmando en un todo la sentencia de grado.-</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al apelante devinto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hasta tanto obren los de primera instancia (art. 54 ley arancelaria).- </w:t>
      </w:r>
    </w:p>
    <w:p>
      <w:pPr>
        <w:pStyle w:val="[Normal]"/>
        <w:spacing w:line="36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w:t>
      </w:r>
      <w:r>
        <w:rPr>
          <w:lang w:val="es-AR" w:eastAsia="es-AR" w:bidi="es-AR"/>
        </w:rPr>
        <w:t xml:space="preserve">Walter Giuliani</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traído, confirmando en un todo la sentencia de grado.-</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al apelante devinto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hasta tanto obren los de primera instancia (art. 54 ley arancelaria).- </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20267619582@NOTIFICACIONES.SCBA.GOV.AR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27280604866@NOTIFICACIONES.SCBA.GOV.AR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21/08/2025 10:40:45 -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22/08/2025 09:05:33 - GIULIANI Walter Ariel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22/08/2025 09:42:07 -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‰8&lt;")è&amp;`7v5Š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242802090006642386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22/08/2025 09:42:36 hs. bajo el número RS-111-2025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