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b/>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5634-25</w:t>
      </w:r>
      <w:r>
        <w:rPr>
          <w:lang w:val="es-AR" w:eastAsia="es-AR" w:bidi="es-AR"/>
        </w:rPr>
        <w:t xml:space="preserve"> caratulados </w:t>
      </w:r>
      <w:r>
        <w:rPr>
          <w:b/>
          <w:lang w:val="es-AR" w:eastAsia="es-AR" w:bidi="es-AR"/>
        </w:rPr>
        <w:t xml:space="preserve">"</w:t>
      </w:r>
      <w:r>
        <w:rPr>
          <w:b/>
          <w:color w:val="000000"/>
          <w:lang w:val="es-AR" w:eastAsia="es-AR" w:bidi="es-AR"/>
        </w:rPr>
        <w:t xml:space="preserve">FACHINAT, ARNOLDO ANTONIO S/ SUCESION AB INTESTATO (21)</w:t>
      </w:r>
      <w:r>
        <w:rPr>
          <w:b/>
          <w:lang w:val="es-AR" w:eastAsia="es-AR" w:bidi="es-AR"/>
        </w:rPr>
        <w:t xml:space="preserve">",</w:t>
      </w:r>
      <w:r>
        <w:rPr>
          <w:lang w:val="es-AR" w:eastAsia="es-AR" w:bidi="es-AR"/>
        </w:rPr>
        <w:t xml:space="preserve"> Expte. N°</w:t>
      </w:r>
      <w:r>
        <w:rPr>
          <w:color w:val="000000"/>
          <w:lang w:val="es-AR" w:eastAsia="es-AR" w:bidi="es-AR"/>
        </w:rPr>
        <w:t xml:space="preserve">37580 </w:t>
      </w:r>
      <w:r>
        <w:rPr>
          <w:lang w:val="es-AR" w:eastAsia="es-AR" w:bidi="es-AR"/>
        </w:rPr>
        <w:t xml:space="preserve">del Juzgado en lo Civil y Comercial N° 1, encontrándose el Dr. Roberto Degleue excusado en fecha 22-4-2025, se ordenó la integración de este Tribunal y se practicó el sorteo de ley que determinó que la votación debía efectuarse en el siguiente orden: Graciela Scaraffia y Walter Giuliani estudiados los autos se resolvió plantear y votar las siguientes: </w:t>
      </w:r>
    </w:p>
    <w:p>
      <w:pPr>
        <w:pStyle w:val="[Normal]"/>
        <w:spacing w:line="360" w:lineRule="auto"/>
        <w:ind w:firstLine="1134"/>
        <w:jc w:val="both"/>
        <w:rPr>
          <w:color w:val="000000"/>
          <w:lang w:val="es-AR" w:eastAsia="es-AR" w:bidi="es-AR"/>
        </w:rPr>
      </w:pPr>
      <w:r>
        <w:rPr>
          <w:b/>
          <w:color w:val="000000"/>
          <w:lang w:val="es-AR" w:eastAsia="es-AR" w:bidi="es-AR"/>
        </w:rPr>
        <w:t xml:space="preserve">C U E S T I O N E S</w:t>
      </w:r>
      <w:r>
        <w:rPr>
          <w:color w:val="000000"/>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la señora Jueza </w:t>
      </w:r>
      <w:r>
        <w:rPr>
          <w:lang w:val="es-AR" w:eastAsia="es-AR" w:bidi="es-AR"/>
        </w:rPr>
        <w:t xml:space="preserve">Graciela Scaraffia</w:t>
      </w:r>
      <w:r>
        <w:rPr>
          <w:color w:val="000000"/>
          <w:lang w:val="es-AR" w:eastAsia="es-AR" w:bidi="es-AR"/>
        </w:rPr>
        <w:t xml:space="preserve"> dijo:</w:t>
      </w:r>
    </w:p>
    <w:p>
      <w:pPr>
        <w:pStyle w:val="[Normal]"/>
        <w:spacing w:line="360" w:lineRule="auto"/>
        <w:ind w:firstLine="1134"/>
        <w:jc w:val="both"/>
        <w:rPr>
          <w:color w:val="000000"/>
          <w:lang w:val="es-AR" w:eastAsia="es-AR" w:bidi="es-AR"/>
        </w:rPr>
      </w:pPr>
      <w:r>
        <w:rPr>
          <w:color w:val="000000"/>
          <w:lang w:val="es-AR" w:eastAsia="es-AR" w:bidi="es-AR"/>
        </w:rPr>
        <w:t xml:space="preserve">El a-quo t</w:t>
      </w:r>
      <w:r>
        <w:rPr>
          <w:lang w:val="es-AR" w:eastAsia="es-AR" w:bidi="es-AR"/>
        </w:rPr>
        <w:t xml:space="preserve">omando como base el monto que surge de la valuación fiscal -en razón de que las tareas profesionales fueron realizadas bajo la órbita de la ley 8904- y considerando el porcentaje denunciado del bien, reguló los honorarios del Dr. Edmundo Aboud, por la primera y segunda etapa de este sucesorio, en la suma de $155.000, con más el porcentual que  establece el Art. 12 Inc. a de la ley 6716 y el  porcentaje de ley previsto para el IVA en cuanto correspondiere.  </w:t>
      </w:r>
    </w:p>
    <w:p>
      <w:pPr>
        <w:pStyle w:val="[Normal]"/>
        <w:spacing w:line="360" w:lineRule="auto"/>
        <w:ind w:firstLine="1134"/>
        <w:jc w:val="both"/>
        <w:rPr>
          <w:color w:val="000000"/>
          <w:lang w:val="es-AR" w:eastAsia="es-AR" w:bidi="es-AR"/>
        </w:rPr>
      </w:pPr>
      <w:r>
        <w:rPr>
          <w:color w:val="000000"/>
          <w:lang w:val="es-AR" w:eastAsia="es-AR" w:bidi="es-AR"/>
        </w:rPr>
        <w:t xml:space="preserve">Tal decisorio fue objeto del recurso de apelación interpuesto por el Dr. Lucas Edmundo Aboud el 19/11/24, el que fuera concedido en fecha 4/12/24, fundado el 11/12/24, y contestado en fecha 18/12/24.   </w:t>
      </w:r>
    </w:p>
    <w:p>
      <w:pPr>
        <w:pStyle w:val="[Normal]"/>
        <w:spacing w:line="360" w:lineRule="auto"/>
        <w:ind w:firstLine="1134"/>
        <w:jc w:val="both"/>
        <w:rPr>
          <w:lang w:val="es-AR" w:eastAsia="es-AR" w:bidi="es-AR"/>
        </w:rPr>
      </w:pPr>
      <w:r>
        <w:rPr>
          <w:color w:val="000000"/>
          <w:lang w:val="es-AR" w:eastAsia="es-AR" w:bidi="es-AR"/>
        </w:rPr>
        <w:t xml:space="preserve">Elevados los autos a ésta Alzada, el 15/5/2025 se llamó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El apelante cuestiona la base legal aplicada por el a-quo para la regulación de los honorarios profesionales del Dr. Edmundo Aboud, en tanto se utilizó el régimen del derogado Decreto-Ley 8904/77, en lugar de la Ley 14.967, actualmente vigente, lo cual, a su criterio, lesiona los principios de razonabilidad, congruencia y progresividad, además de vulnerar derechos de raigambre constitucional y normas del Código Civil y Comercial de la Nación (arts. 7 y 1255).</w:t>
      </w:r>
    </w:p>
    <w:p>
      <w:pPr>
        <w:pStyle w:val="[Normal]"/>
        <w:spacing w:line="360" w:lineRule="auto"/>
        <w:ind w:firstLine="1134"/>
        <w:jc w:val="both"/>
        <w:rPr>
          <w:lang w:val="es-AR" w:eastAsia="es-AR" w:bidi="es-AR"/>
        </w:rPr>
      </w:pPr>
      <w:r>
        <w:rPr>
          <w:lang w:val="es-AR" w:eastAsia="es-AR" w:bidi="es-AR"/>
        </w:rPr>
        <w:t xml:space="preserve">Sostiene que la doctrina fijada por la Suprema Corte de Justicia de la Provincia en el fallo “Morcillo” no constituye doctrina legal ni resulta aplicable al presente caso, por cuanto no contempla los efectos del art. 7 del CCyCN.</w:t>
      </w:r>
    </w:p>
    <w:p>
      <w:pPr>
        <w:pStyle w:val="[Normal]"/>
        <w:spacing w:line="360" w:lineRule="auto"/>
        <w:ind w:firstLine="1134"/>
        <w:jc w:val="both"/>
        <w:rPr>
          <w:lang w:val="es-AR" w:eastAsia="es-AR" w:bidi="es-AR"/>
        </w:rPr>
      </w:pPr>
      <w:r>
        <w:rPr>
          <w:lang w:val="es-AR" w:eastAsia="es-AR" w:bidi="es-AR"/>
        </w:rPr>
        <w:t xml:space="preserve">Argumenta que conforme una recta interpretación de dicho precepto, la ley 14.967 se aplica inmediatamente a las consecuencias -regulación judicial- de la relación jurídica preexistente -crédito por honorarios devengados-.</w:t>
      </w:r>
    </w:p>
    <w:p>
      <w:pPr>
        <w:pStyle w:val="[Normal]"/>
        <w:spacing w:line="360" w:lineRule="auto"/>
        <w:ind w:firstLine="1134"/>
        <w:jc w:val="both"/>
        <w:rPr>
          <w:lang w:val="es-AR" w:eastAsia="es-AR" w:bidi="es-AR"/>
        </w:rPr>
      </w:pPr>
      <w:r>
        <w:rPr>
          <w:lang w:val="es-AR" w:eastAsia="es-AR" w:bidi="es-AR"/>
        </w:rPr>
        <w:t xml:space="preserve">Cita doctrina que interpreta que la ley nueva se aplica a las consecuencias jurídicas aún no realizadas de situaciones nacidas bajo una ley anterior.</w:t>
      </w:r>
    </w:p>
    <w:p>
      <w:pPr>
        <w:pStyle w:val="[Normal]"/>
        <w:spacing w:line="360" w:lineRule="auto"/>
        <w:ind w:firstLine="1134"/>
        <w:jc w:val="both"/>
        <w:rPr>
          <w:lang w:val="es-AR" w:eastAsia="es-AR" w:bidi="es-AR"/>
        </w:rPr>
      </w:pPr>
      <w:r>
        <w:rPr>
          <w:lang w:val="es-AR" w:eastAsia="es-AR" w:bidi="es-AR"/>
        </w:rPr>
        <w:t xml:space="preserve">Refiere que la aplicación de la Ley 8904/77 en la especie genera una desproporción manifiesta e injustificada entre la retribución resultante y la laboral profesional cumplida, lo cual queda evidenciado en la desmesurada diferencia entre los estipendios regulados al Dr. Aboud ($158.000 por dos etapas del sucesorio) y los percibidos por otro profesional interviniente en el mismo proceso (casi 100 veces más por una sola etapa).</w:t>
      </w:r>
    </w:p>
    <w:p>
      <w:pPr>
        <w:pStyle w:val="[Normal]"/>
        <w:spacing w:line="360" w:lineRule="auto"/>
        <w:ind w:firstLine="1134"/>
        <w:jc w:val="both"/>
        <w:rPr>
          <w:lang w:val="es-AR" w:eastAsia="es-AR" w:bidi="es-AR"/>
        </w:rPr>
      </w:pPr>
      <w:r>
        <w:rPr>
          <w:lang w:val="es-AR" w:eastAsia="es-AR" w:bidi="es-AR"/>
        </w:rPr>
        <w:t xml:space="preserve">Enfatiza el carácter alimentario de los honorarios profesionales, esgrimiendo que debe buscarse una solución correctora a la situación planteada que se ajuste al artículo 1255 del CCyCN para evitar una fijación arbitraria o infundada.</w:t>
      </w:r>
    </w:p>
    <w:p>
      <w:pPr>
        <w:pStyle w:val="[Normal]"/>
        <w:spacing w:line="360" w:lineRule="auto"/>
        <w:ind w:firstLine="1134"/>
        <w:jc w:val="both"/>
        <w:rPr>
          <w:lang w:val="es-AR" w:eastAsia="es-AR" w:bidi="es-AR"/>
        </w:rPr>
      </w:pPr>
      <w:r>
        <w:rPr>
          <w:lang w:val="es-AR" w:eastAsia="es-AR" w:bidi="es-AR"/>
        </w:rPr>
        <w:t xml:space="preserve">Señala que la jurisprudencia ha encontrado la solución a ello, que es la hoy prevista en el art. 35 Ley 14.967.</w:t>
      </w:r>
    </w:p>
    <w:p>
      <w:pPr>
        <w:pStyle w:val="[Normal]"/>
        <w:spacing w:line="360" w:lineRule="auto"/>
        <w:ind w:firstLine="1134"/>
        <w:jc w:val="both"/>
        <w:rPr>
          <w:b/>
          <w:lang w:val="es-AR" w:eastAsia="es-AR" w:bidi="es-AR"/>
        </w:rPr>
      </w:pPr>
      <w:r>
        <w:rPr>
          <w:lang w:val="es-AR" w:eastAsia="es-AR" w:bidi="es-AR"/>
        </w:rPr>
        <w:t xml:space="preserve">En base a lo expuesto, solicita se revoque la sentencia apelada y se ordene la regulación de los honorarios en cuestión conforme a la Ley 14.967, a fin de garantizar la equidad, proporcionalidad y razonabilidad en su determinación.</w:t>
      </w:r>
    </w:p>
    <w:p>
      <w:pPr>
        <w:pStyle w:val="[Normal]"/>
        <w:spacing w:line="360" w:lineRule="auto"/>
        <w:ind w:firstLine="1134"/>
        <w:jc w:val="both"/>
        <w:rPr>
          <w:lang w:val="es-AR" w:eastAsia="es-AR" w:bidi="es-AR"/>
        </w:rPr>
      </w:pPr>
      <w:r>
        <w:rPr>
          <w:lang w:val="es-AR" w:eastAsia="es-AR" w:bidi="es-AR"/>
        </w:rPr>
        <w:t xml:space="preserve">Las herederas Giulia y Valentina Fachinat, al contestar el traslado conferido, impetran el rechazo de la pieza recursiva deducida.</w:t>
      </w:r>
    </w:p>
    <w:p>
      <w:pPr>
        <w:pStyle w:val="[Normal]"/>
        <w:spacing w:line="360" w:lineRule="auto"/>
        <w:ind w:firstLine="1134"/>
        <w:jc w:val="both"/>
        <w:rPr>
          <w:color w:val="000000"/>
          <w:lang w:val="es-AR" w:eastAsia="es-AR" w:bidi="es-AR"/>
        </w:rPr>
      </w:pPr>
      <w:r>
        <w:rPr>
          <w:lang w:val="es-AR" w:eastAsia="es-AR" w:bidi="es-AR"/>
        </w:rPr>
        <w:t xml:space="preserve">Liminarmente, e</w:t>
      </w:r>
      <w:r>
        <w:rPr>
          <w:color w:val="000000"/>
          <w:lang w:val="es-AR" w:eastAsia="es-AR" w:bidi="es-AR"/>
        </w:rPr>
        <w:t xml:space="preserve">n relación a la cuestión introducida expresamente en el escrito de responde relativa al incumplimiento de los recaudos establecidos por el art. 260 del CPCC</w:t>
      </w:r>
      <w:r>
        <w:rPr>
          <w:lang w:val="es-AR" w:eastAsia="es-AR" w:bidi="es-AR"/>
        </w:rPr>
        <w:t xml:space="preserve">, cabe señalar que de la lectura del escrito arrimado por el recurrente se advierte una crítica concreta y razonada del fallo apelado que abastece suficientemente las exigencias previstas por el ritual en la materia, por lo que ha de desestimarse la pretensión deducida en este punto.</w:t>
      </w:r>
    </w:p>
    <w:p>
      <w:pPr>
        <w:pStyle w:val="[Normal]"/>
        <w:spacing w:line="360" w:lineRule="auto"/>
        <w:ind w:firstLine="1134"/>
        <w:jc w:val="both"/>
        <w:rPr>
          <w:color w:val="000000"/>
          <w:lang w:val="es-AR" w:eastAsia="es-AR" w:bidi="es-AR"/>
        </w:rPr>
      </w:pPr>
      <w:r>
        <w:rPr>
          <w:color w:val="000000"/>
          <w:lang w:val="es-AR" w:eastAsia="es-AR" w:bidi="es-AR"/>
        </w:rPr>
        <w:t xml:space="preserve">Ya en tarea, he de adelantar que deviene inatendible el planteo recursivo ensayado.</w:t>
      </w:r>
    </w:p>
    <w:p>
      <w:pPr>
        <w:pStyle w:val="[Normal]"/>
        <w:spacing w:line="360" w:lineRule="auto"/>
        <w:ind w:firstLine="1134"/>
        <w:jc w:val="both"/>
        <w:rPr>
          <w:color w:val="000000"/>
          <w:lang w:val="es-AR" w:eastAsia="es-AR" w:bidi="es-AR"/>
        </w:rPr>
      </w:pPr>
      <w:r>
        <w:rPr>
          <w:lang w:val="es-AR" w:eastAsia="es-AR" w:bidi="es-AR"/>
        </w:rPr>
        <w:t xml:space="preserve">Esta Alzada ha sostenido reiteradamente la aplicación de la doctrina legal establecida por la Suprema Corte de Justicia de la Provincia en la causa "Morcillo", I-73016 del 8/11/17 (causas 5115-23, 3595-19 y 3301-18, entre otras).</w:t>
      </w:r>
    </w:p>
    <w:p>
      <w:pPr>
        <w:pStyle w:val="[Normal]"/>
        <w:spacing w:line="360" w:lineRule="auto"/>
        <w:ind w:firstLine="1134"/>
        <w:jc w:val="both"/>
        <w:rPr>
          <w:i/>
          <w:color w:val="000000"/>
          <w:lang w:val="es-AR" w:eastAsia="es-AR" w:bidi="es-AR"/>
        </w:rPr>
      </w:pPr>
      <w:r>
        <w:rPr>
          <w:color w:val="000000"/>
          <w:lang w:val="es-AR" w:eastAsia="es-AR" w:bidi="es-AR"/>
        </w:rPr>
        <w:t xml:space="preserve">En tal precedente, se sostuvo que, tratándose de honorarios profesionales, resulta necesario —ante un cambio de régimen arancelario— discriminar las etapas procesales cumplidas bajo el régimen anterior de aquellas desarrolladas bajo la vigencia del nuevo ordenamiento. Así lo ha establecido también la Corte Suprema de Justicia de la Nación en Fallos 320:31; 2349 y 2756; 321:146; 330, 532 y 1757; 325:2250, entre otros.</w:t>
      </w:r>
    </w:p>
    <w:p>
      <w:pPr>
        <w:pStyle w:val="[Normal]"/>
        <w:spacing w:line="360" w:lineRule="auto"/>
        <w:ind w:firstLine="1134"/>
        <w:jc w:val="both"/>
        <w:rPr>
          <w:color w:val="000000"/>
          <w:lang w:val="es-AR" w:eastAsia="es-AR" w:bidi="es-AR"/>
        </w:rPr>
      </w:pPr>
      <w:r>
        <w:rPr>
          <w:color w:val="000000"/>
          <w:lang w:val="es-AR" w:eastAsia="es-AR" w:bidi="es-AR"/>
        </w:rPr>
        <w:t xml:space="preserve">Este</w:t>
      </w:r>
      <w:r>
        <w:rPr>
          <w:i/>
          <w:color w:val="000000"/>
          <w:lang w:val="es-AR" w:eastAsia="es-AR" w:bidi="es-AR"/>
        </w:rPr>
        <w:t xml:space="preserve"> </w:t>
      </w:r>
      <w:r>
        <w:rPr>
          <w:color w:val="000000"/>
          <w:lang w:val="es-AR" w:eastAsia="es-AR" w:bidi="es-AR"/>
        </w:rPr>
        <w:t xml:space="preserve">criterio responde a una interpretación armónica del artículo 7 del CCyCN, que establece que las leyes se aplican a las consecuencias de relaciones y situaciones jurídicas existentes, sin efecto retroactivo, salvo disposición en contrario.</w:t>
      </w:r>
    </w:p>
    <w:p>
      <w:pPr>
        <w:pStyle w:val="[Normal]"/>
        <w:spacing w:line="360" w:lineRule="auto"/>
        <w:ind w:firstLine="1134"/>
        <w:jc w:val="both"/>
        <w:rPr>
          <w:b/>
          <w:lang w:val="es-AR" w:eastAsia="es-AR" w:bidi="es-AR"/>
        </w:rPr>
      </w:pPr>
      <w:r>
        <w:rPr>
          <w:color w:val="000000"/>
          <w:lang w:val="es-AR" w:eastAsia="es-AR" w:bidi="es-AR"/>
        </w:rPr>
        <w:t xml:space="preserve">En el caso, el Dr. Edmundo Aboud realizó su actuación profesional durante la vigencia del Decreto-Ley 8904/77, momento en el cual se devengaron sus honorarios (arts. 1° Ley 8904 y 1° Ley 14.967).  Se trata, por tanto, de una situación jurídica consolidada, que no puede ser alcanzada retroactivamente por la Ley 14.967, en tanto no existe disposición expresa que así lo disponga.</w:t>
      </w:r>
    </w:p>
    <w:p>
      <w:pPr>
        <w:pStyle w:val="[Normal]"/>
        <w:spacing w:line="360" w:lineRule="auto"/>
        <w:ind w:firstLine="1134"/>
        <w:jc w:val="both"/>
        <w:rPr>
          <w:lang w:val="es-AR" w:eastAsia="es-AR" w:bidi="es-AR"/>
        </w:rPr>
      </w:pPr>
      <w:r>
        <w:rPr>
          <w:lang w:val="es-AR" w:eastAsia="es-AR" w:bidi="es-AR"/>
        </w:rPr>
        <w:t xml:space="preserve">Los honorarios se devengan con la prestación del servicio profesional y que su regulación posterior no convierte dicha consecuencia en una situación jurídica nueva.</w:t>
      </w:r>
    </w:p>
    <w:p>
      <w:pPr>
        <w:pStyle w:val="[Normal]"/>
        <w:spacing w:line="360" w:lineRule="auto"/>
        <w:ind w:firstLine="1134"/>
        <w:jc w:val="both"/>
        <w:rPr>
          <w:lang w:val="es-AR" w:eastAsia="es-AR" w:bidi="es-AR"/>
        </w:rPr>
      </w:pPr>
      <w:r>
        <w:rPr>
          <w:lang w:val="es-AR" w:eastAsia="es-AR" w:bidi="es-AR"/>
        </w:rPr>
        <w:t xml:space="preserve">Mal puede el quejoso pretender la aplicación de una normativa que no se encontraba en vigencia en el momento en que el Dr. Edmundo Aboud desplegara su actuación en autos.</w:t>
      </w:r>
    </w:p>
    <w:p>
      <w:pPr>
        <w:pStyle w:val="[Normal]"/>
        <w:spacing w:line="360" w:lineRule="auto"/>
        <w:ind w:firstLine="1134"/>
        <w:jc w:val="both"/>
        <w:rPr>
          <w:b/>
          <w:lang w:val="es-AR" w:eastAsia="es-AR" w:bidi="es-AR"/>
        </w:rPr>
      </w:pPr>
      <w:r>
        <w:rPr>
          <w:lang w:val="es-AR" w:eastAsia="es-AR" w:bidi="es-AR"/>
        </w:rPr>
        <w:t xml:space="preserve">Por su parte, el carácter alimentario de los honorarios, que si bien es reconocido, no autoriza la aplicación retroactiva de una norma más beneficiosa cuando se ha consolidado válidamente un derecho bajo un régimen anterior. Cualquier otra interpretación conllevaría una afectación del principio de seguridad jurídica.</w:t>
      </w:r>
    </w:p>
    <w:p>
      <w:pPr>
        <w:pStyle w:val="[Normal]"/>
        <w:spacing w:line="360" w:lineRule="auto"/>
        <w:ind w:firstLine="1134"/>
        <w:jc w:val="both"/>
        <w:rPr>
          <w:color w:val="000000"/>
          <w:lang w:val="es-AR" w:eastAsia="es-AR" w:bidi="es-AR"/>
        </w:rPr>
      </w:pPr>
      <w:r>
        <w:rPr>
          <w:lang w:val="es-AR" w:eastAsia="es-AR" w:bidi="es-AR"/>
        </w:rPr>
        <w:t xml:space="preserve">Resta señalar que la diferencia que se advierte entre los honorarios regulados a los letrados intervinientes obedece a que los mismos han sido regulados de acuerdo a distintas normativas arancelarias, las cuales presentan diferencias importantes en materia sucesoria, especialmente en relación al porcentaje que representa cada etapa cumplida y la base regulatoria a tener en cuenta tratándose de inmuebles (ver arts. 28 y 35 decreto ley 8904 y ley 14967).</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360" w:lineRule="auto"/>
        <w:ind w:firstLine="1134"/>
        <w:jc w:val="both"/>
        <w:rPr>
          <w:color w:val="000000"/>
          <w:lang w:val="es-AR" w:eastAsia="es-AR" w:bidi="es-AR"/>
        </w:rPr>
      </w:pPr>
      <w:r>
        <w:rPr>
          <w:b/>
          <w:color w:val="000000"/>
          <w:lang w:val="es-AR" w:eastAsia="es-AR" w:bidi="es-AR"/>
        </w:rPr>
        <w:t xml:space="preserve">VOTO POR LA AFIRMATIVA</w:t>
      </w:r>
      <w:r>
        <w:rPr>
          <w:color w:val="000000"/>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w:t>
      </w:r>
      <w:r>
        <w:rPr>
          <w:lang w:val="es-AR" w:eastAsia="es-AR" w:bidi="es-AR"/>
        </w:rPr>
        <w:t xml:space="preserve"> Walter Giuliani</w:t>
      </w:r>
      <w:r>
        <w:rPr>
          <w:color w:val="000000"/>
          <w:lang w:val="es-AR" w:eastAsia="es-AR" w:bidi="es-AR"/>
        </w:rPr>
        <w:t xml:space="preserve">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la señora Jueza </w:t>
      </w:r>
      <w:r>
        <w:rPr>
          <w:lang w:val="es-AR" w:eastAsia="es-AR" w:bidi="es-AR"/>
        </w:rPr>
        <w:t xml:space="preserve">Graciela Scaraffia</w:t>
      </w:r>
      <w:r>
        <w:rPr>
          <w:color w:val="000000"/>
          <w:lang w:val="es-AR" w:eastAsia="es-AR" w:bidi="es-AR"/>
        </w:rPr>
        <w:t xml:space="preserve"> dijo:</w:t>
      </w:r>
    </w:p>
    <w:p>
      <w:pPr>
        <w:pStyle w:val="[Normal]"/>
        <w:spacing w:line="36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Desestimar el recurso de apelación deducido</w:t>
      </w:r>
      <w:r>
        <w:rPr>
          <w:lang w:val="es-AR" w:eastAsia="es-AR" w:bidi="es-AR"/>
        </w:rPr>
        <w:t xml:space="preserve">, y en consecuencia confirmar el fallo atacado</w:t>
      </w:r>
      <w:r>
        <w:rPr>
          <w:color w:val="000000"/>
          <w:lang w:val="es-AR" w:eastAsia="es-AR" w:bidi="es-AR"/>
        </w:rPr>
        <w:t xml:space="preserve">.</w:t>
      </w:r>
    </w:p>
    <w:p>
      <w:pPr>
        <w:pStyle w:val="[Normal]"/>
        <w:spacing w:line="360" w:lineRule="auto"/>
        <w:ind w:firstLine="1134"/>
        <w:jc w:val="both"/>
        <w:rPr>
          <w:color w:val="000000"/>
          <w:lang w:val="es-AR" w:eastAsia="es-AR" w:bidi="es-AR"/>
        </w:rPr>
      </w:pPr>
      <w:r>
        <w:rPr>
          <w:lang w:val="es-AR" w:eastAsia="es-AR" w:bidi="es-AR"/>
        </w:rPr>
        <w:t xml:space="preserve">Sin costas (art. 68 del CPCC; art. 27 inc. a) último párr. Ley 14.967).</w:t>
      </w:r>
    </w:p>
    <w:p>
      <w:pPr>
        <w:pStyle w:val="[Normal]"/>
        <w:spacing w:line="360" w:lineRule="auto"/>
        <w:ind w:firstLine="1134"/>
        <w:jc w:val="both"/>
        <w:rPr>
          <w:color w:val="000000"/>
          <w:lang w:val="es-AR" w:eastAsia="es-AR" w:bidi="es-AR"/>
        </w:rPr>
      </w:pPr>
      <w:r>
        <w:rPr>
          <w:b/>
          <w:color w:val="000000"/>
          <w:lang w:val="es-AR" w:eastAsia="es-AR" w:bidi="es-AR"/>
        </w:rPr>
        <w:t xml:space="preserve">ASI LO VOTO</w:t>
      </w:r>
      <w:r>
        <w:rPr>
          <w:color w:val="000000"/>
          <w:lang w:val="es-AR" w:eastAsia="es-AR" w:bidi="es-AR"/>
        </w:rPr>
        <w:t xml:space="preserve">.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w:t>
      </w:r>
      <w:r>
        <w:rPr>
          <w:lang w:val="es-AR" w:eastAsia="es-AR" w:bidi="es-AR"/>
        </w:rPr>
        <w:t xml:space="preserve"> Walter Giuliani</w:t>
      </w:r>
      <w:r>
        <w:rPr>
          <w:color w:val="000000"/>
          <w:lang w:val="es-AR" w:eastAsia="es-AR" w:bidi="es-AR"/>
        </w:rPr>
        <w:t xml:space="preserve">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b/>
          <w:color w:val="000000"/>
          <w:lang w:val="es-AR" w:eastAsia="es-AR" w:bidi="es-AR"/>
        </w:rPr>
        <w:t xml:space="preserve">S E N T E N C I A</w:t>
      </w:r>
      <w:r>
        <w:rPr>
          <w:color w:val="000000"/>
          <w:lang w:val="es-AR" w:eastAsia="es-AR" w:bidi="es-AR"/>
        </w:rPr>
        <w:t xml:space="preserve">:</w:t>
      </w:r>
    </w:p>
    <w:p>
      <w:pPr>
        <w:pStyle w:val="[Normal]"/>
        <w:spacing w:line="360" w:lineRule="auto"/>
        <w:ind w:firstLine="1134"/>
        <w:jc w:val="both"/>
        <w:rPr>
          <w:lang w:val="es-AR" w:eastAsia="es-AR" w:bidi="es-AR"/>
        </w:rPr>
      </w:pPr>
      <w:r>
        <w:rPr>
          <w:color w:val="000000"/>
          <w:lang w:val="es-AR" w:eastAsia="es-AR" w:bidi="es-AR"/>
        </w:rPr>
        <w:t xml:space="preserve">Desestimar el recurso de apelación deducido</w:t>
      </w:r>
      <w:r>
        <w:rPr>
          <w:lang w:val="es-AR" w:eastAsia="es-AR" w:bidi="es-AR"/>
        </w:rPr>
        <w:t xml:space="preserve">, y en consecuencia confirmar el fallo atacado.</w:t>
      </w:r>
    </w:p>
    <w:p>
      <w:pPr>
        <w:pStyle w:val="[Normal]"/>
        <w:spacing w:line="360" w:lineRule="auto"/>
        <w:ind w:firstLine="1134"/>
        <w:jc w:val="both"/>
        <w:rPr>
          <w:color w:val="000000"/>
          <w:lang w:val="es-AR" w:eastAsia="es-AR" w:bidi="es-AR"/>
        </w:rPr>
      </w:pPr>
      <w:r>
        <w:rPr>
          <w:lang w:val="es-AR" w:eastAsia="es-AR" w:bidi="es-AR"/>
        </w:rPr>
        <w:t xml:space="preserve">Sin costas (art. 68 del CPCC; art. 27 inc. a) último párr.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360" w:lineRule="auto"/>
        <w:ind w:firstLine="1134"/>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12/08/2025 10:39:28 -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12/08/2025 11:32:03 - GIULIANI Walter Ariel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12/08/2025 12:00:01 -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20102409524@NOTIFICACIONES.SCBA.GOV.AR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20124349258@NOTIFICACIONES.SCBA.GOV.AR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20258327102@NOTIFICACIONES.SCBA.GOV.AR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‰8F")è&amp;Z:{dŠ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243802090006582691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12/08/2025 12:00:13 hs. bajo el número RS-101-2025 por PE\LBIANCO LUIS MARIA.</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