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5724-25</w:t>
      </w:r>
      <w:r>
        <w:rPr>
          <w:lang w:val="es-AR" w:eastAsia="es-AR" w:bidi="es-AR"/>
        </w:rPr>
        <w:t xml:space="preserve"> caratulada </w:t>
      </w:r>
      <w:r>
        <w:rPr>
          <w:b/>
          <w:lang w:val="es-AR" w:eastAsia="es-AR" w:bidi="es-AR"/>
        </w:rPr>
        <w:t xml:space="preserve">"</w:t>
      </w:r>
      <w:r>
        <w:rPr>
          <w:b/>
          <w:color w:val="000000"/>
          <w:lang w:val="es-AR" w:eastAsia="es-AR" w:bidi="es-AR"/>
        </w:rPr>
        <w:t xml:space="preserve">ROMERO LAUTARO TOMAS C/ GALARZA CARINA NELIDA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78.384</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 Graciela Scaraffia dijo:</w:t>
      </w:r>
    </w:p>
    <w:p>
      <w:pPr>
        <w:pStyle w:val="[Normal]"/>
        <w:spacing w:line="360" w:lineRule="auto"/>
        <w:ind w:firstLine="1134"/>
        <w:jc w:val="both"/>
        <w:rPr>
          <w:lang w:val="es-AR" w:eastAsia="es-AR" w:bidi="es-AR"/>
        </w:rPr>
      </w:pPr>
      <w:r>
        <w:rPr>
          <w:lang w:val="es-AR" w:eastAsia="es-AR" w:bidi="es-AR"/>
        </w:rPr>
        <w:t xml:space="preserve">El Sr. Juez de la instancia anterior falló la presente homologando el acuerdo agregado por las partes, con costas a cargo de la citada en garantía. </w:t>
      </w:r>
    </w:p>
    <w:p>
      <w:pPr>
        <w:pStyle w:val="[Normal]"/>
        <w:spacing w:line="360" w:lineRule="auto"/>
        <w:ind w:firstLine="1134"/>
        <w:jc w:val="both"/>
        <w:rPr>
          <w:lang w:val="es-AR" w:eastAsia="es-AR" w:bidi="es-AR"/>
        </w:rPr>
      </w:pPr>
      <w:r>
        <w:rPr>
          <w:lang w:val="es-AR" w:eastAsia="es-AR" w:bidi="es-AR"/>
        </w:rPr>
        <w:t xml:space="preserve">En otro orden, reguló los honorarios profesionales de los letrados intervinientes Dres. Walter Bilos (109,42 jus, equivalentes a la suma acordada) y Fernando Cortasa (54,71 jus, mínimo requerido), por las tareas de autos, e hizo lo propio en relación a los Peritos Oficiales María Teresa Perez Delbene ($250.000), Marcela Verónica Polizzi($310.000) y Javier Ferretti ($310.000). Además, determinó los honorarios del</w:t>
      </w:r>
      <w:r>
        <w:rPr>
          <w:b/>
          <w:lang w:val="es-AR" w:eastAsia="es-AR" w:bidi="es-AR"/>
        </w:rPr>
        <w:t xml:space="preserve"> </w:t>
      </w:r>
      <w:r>
        <w:rPr>
          <w:lang w:val="es-AR" w:eastAsia="es-AR" w:bidi="es-AR"/>
        </w:rPr>
        <w:t xml:space="preserve">mediador designado en autos, Dr. Juan Diego Velez, por su labor desarrollada en la etapa previa en la suma equivalente a 31,31 jus de unidad arancelaria. Y dejó a salvo que a fin de no afectar lo dispuesto por el art. 730 CCYCN se deben prorratear en un 12,9% los honorarios regulados a los letrados y peritos.</w:t>
      </w:r>
    </w:p>
    <w:p>
      <w:pPr>
        <w:pStyle w:val="[Normal]"/>
        <w:spacing w:line="360" w:lineRule="auto"/>
        <w:ind w:firstLine="1134"/>
        <w:jc w:val="both"/>
        <w:rPr>
          <w:lang w:val="es-AR" w:eastAsia="es-AR" w:bidi="es-AR"/>
        </w:rPr>
      </w:pPr>
      <w:r>
        <w:rPr>
          <w:lang w:val="es-AR" w:eastAsia="es-AR" w:bidi="es-AR"/>
        </w:rPr>
        <w:t xml:space="preserve">Lo decidido fue apelado por la citada en garantía el 27/5/25, quien fundó tal recurso en fecha 29/5/25, el que quedara incontestado por el mediador.</w:t>
      </w:r>
    </w:p>
    <w:p>
      <w:pPr>
        <w:pStyle w:val="[Normal]"/>
        <w:spacing w:line="360" w:lineRule="auto"/>
        <w:ind w:firstLine="1134"/>
        <w:jc w:val="both"/>
        <w:rPr>
          <w:lang w:val="es-AR" w:eastAsia="es-AR" w:bidi="es-AR"/>
        </w:rPr>
      </w:pPr>
      <w:r>
        <w:rPr>
          <w:lang w:val="es-AR" w:eastAsia="es-AR" w:bidi="es-AR"/>
        </w:rPr>
        <w:t xml:space="preserve">Arribada la causa a éste Tribunal el 19/6/</w:t>
      </w:r>
      <w:r>
        <w:rPr>
          <w:b/>
          <w:lang w:val="es-AR" w:eastAsia="es-AR" w:bidi="es-AR"/>
        </w:rPr>
        <w:t xml:space="preserve">/</w:t>
      </w:r>
      <w:r>
        <w:rPr>
          <w:lang w:val="es-AR" w:eastAsia="es-AR" w:bidi="es-AR"/>
        </w:rPr>
        <w:t xml:space="preserve">25 se llama a autos para resolver, providencia que firme a la fecha deja el expediente en condiciones de ser resuelto.</w:t>
      </w:r>
    </w:p>
    <w:p>
      <w:pPr>
        <w:pStyle w:val="[Normal]"/>
        <w:spacing w:line="360" w:lineRule="auto"/>
        <w:ind w:firstLine="1134"/>
        <w:jc w:val="both"/>
        <w:rPr>
          <w:lang w:val="es-AR" w:eastAsia="es-AR" w:bidi="es-AR"/>
        </w:rPr>
      </w:pPr>
      <w:r>
        <w:rPr>
          <w:u w:val="single"/>
          <w:lang w:val="es-AR" w:eastAsia="es-AR" w:bidi="es-AR"/>
        </w:rPr>
        <w:t xml:space="preserve">Agravios de la Apelante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duele la quejosa en relación a los honorarios profesionales fijados en favor del Mediador interviniente Dr. Juan Diego Velez, por considerar los mismos excesivos.</w:t>
      </w:r>
    </w:p>
    <w:p>
      <w:pPr>
        <w:pStyle w:val="[Normal]"/>
        <w:spacing w:line="360" w:lineRule="auto"/>
        <w:ind w:firstLine="1134"/>
        <w:jc w:val="both"/>
        <w:rPr>
          <w:lang w:val="es-AR" w:eastAsia="es-AR" w:bidi="es-AR"/>
        </w:rPr>
      </w:pPr>
      <w:r>
        <w:rPr>
          <w:lang w:val="es-AR" w:eastAsia="es-AR" w:bidi="es-AR"/>
        </w:rPr>
        <w:t xml:space="preserve">Expresa que la suma de $1.200.143 -más aportes- resulta desproporcionada en relación al monto del acuerdo transaccional, como así también respecto de la tarea desplegada por el mediador, la que consistió en el envío de una carta documento y la confección de un acta de audiencia, quedando allí cerrada la instancia por voluntad del requirente.</w:t>
      </w:r>
    </w:p>
    <w:p>
      <w:pPr>
        <w:pStyle w:val="[Normal]"/>
        <w:spacing w:line="360" w:lineRule="auto"/>
        <w:ind w:firstLine="1134"/>
        <w:jc w:val="both"/>
        <w:rPr>
          <w:lang w:val="es-AR" w:eastAsia="es-AR" w:bidi="es-AR"/>
        </w:rPr>
      </w:pPr>
      <w:r>
        <w:rPr>
          <w:lang w:val="es-AR" w:eastAsia="es-AR" w:bidi="es-AR"/>
        </w:rPr>
        <w:t xml:space="preserve">Añade que el letrado mediador ha fracasado en su función, esto es procurar un acercamiento entre las partes, y frente a ello se le ha regulado un monto muy elevado si se lo compara proporcionalmente a los de los Letrados intervinientes, quienes tuvieron mayores responsabilidades y llegaron a la composición del litigio, o a los de los peritos, quienes realizaron una actividad que si fue útil en el proceso.</w:t>
      </w:r>
    </w:p>
    <w:p>
      <w:pPr>
        <w:pStyle w:val="[Normal]"/>
        <w:spacing w:line="360" w:lineRule="auto"/>
        <w:ind w:firstLine="1134"/>
        <w:jc w:val="both"/>
        <w:rPr>
          <w:lang w:val="es-AR" w:eastAsia="es-AR" w:bidi="es-AR"/>
        </w:rPr>
      </w:pPr>
      <w:r>
        <w:rPr>
          <w:lang w:val="es-AR" w:eastAsia="es-AR" w:bidi="es-AR"/>
        </w:rPr>
        <w:t xml:space="preserve">Asimismo, cuestiona que el prorrateo previsto en el art. 730 del CCYCN haya alcanzado los honorarios de los letrados y peritos, empero no así los del mediador, lo que torna aún mas injusta la regulación de honorarios puesta en crisis.</w:t>
      </w:r>
    </w:p>
    <w:p>
      <w:pPr>
        <w:pStyle w:val="[Normal]"/>
        <w:spacing w:line="360" w:lineRule="auto"/>
        <w:ind w:firstLine="1134"/>
        <w:jc w:val="both"/>
        <w:rPr>
          <w:lang w:val="es-AR" w:eastAsia="es-AR" w:bidi="es-AR"/>
        </w:rPr>
      </w:pPr>
      <w:r>
        <w:rPr>
          <w:lang w:val="es-AR" w:eastAsia="es-AR" w:bidi="es-AR"/>
        </w:rPr>
        <w:t xml:space="preserve">En otro orden, solicita la declaración de inconstitucionalidad del art. 31 de la Ley 13.951 y del art. 27 del decreto reglamentario 2530/10, en tanto reitera que la suma regulada en concepto de honorarios de la Mediadora, alcanza un porcentaje desproporcionado en comparación a la de los Letrados que intervienen en la causa y las labores por éstos desarrolladas.</w:t>
      </w:r>
    </w:p>
    <w:p>
      <w:pPr>
        <w:pStyle w:val="[Normal]"/>
        <w:spacing w:line="360" w:lineRule="auto"/>
        <w:ind w:firstLine="1134"/>
        <w:jc w:val="both"/>
        <w:rPr>
          <w:b/>
          <w:lang w:val="es-AR" w:eastAsia="es-AR" w:bidi="es-AR"/>
        </w:rPr>
      </w:pPr>
      <w:r>
        <w:rPr>
          <w:lang w:val="es-AR" w:eastAsia="es-AR" w:bidi="es-AR"/>
        </w:rPr>
        <w:t xml:space="preserve">Seguidamente dice que son abundantes los fallos dictados respecto de una legislación con similares pautas retributivas, y que de sostener la vigencia de la ley atacada importa lesionar derechos constitucionales, por lo que concluye peticionando la declaración de inconstitucionalidad.</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No obstante ello, cabe advertir que yerra la apelante al plantear la inconstitucionalidad del art. 27 del decreto reglamentario 2530/10 por cuanto no surge la aplicación efectiva de la norma en cuestión (ver resolución del 20/2/25). </w:t>
      </w:r>
    </w:p>
    <w:p>
      <w:pPr>
        <w:pStyle w:val="[Normal]"/>
        <w:spacing w:line="360" w:lineRule="auto"/>
        <w:ind w:firstLine="1134"/>
        <w:jc w:val="both"/>
        <w:rPr>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w:t>
      </w:r>
    </w:p>
    <w:p>
      <w:pPr>
        <w:pStyle w:val="[Normal]"/>
        <w:spacing w:line="360" w:lineRule="auto"/>
        <w:ind w:firstLine="1134"/>
        <w:jc w:val="both"/>
        <w:rPr>
          <w:b/>
          <w:lang w:val="es-AR" w:eastAsia="es-AR" w:bidi="es-AR"/>
        </w:rPr>
      </w:pPr>
      <w:r>
        <w:rPr>
          <w:lang w:val="es-AR" w:eastAsia="es-AR" w:bidi="es-AR"/>
        </w:rPr>
        <w:t xml:space="preserve">Sentado ello, corresponde adentrarse en el tratamiento del recurso en tanto el agravio lo constituye el monto regulado al Dr. Juan Diego Velez por su trabajo como Mediador que en la instancia de origen se los determinó en la suma equivalente a 31,31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 la mediadora al envío de carta documento y a un acta de cierre de audiencia,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-del 12/7/22</w:t>
      </w:r>
      <w:r>
        <w:rPr>
          <w:b/>
          <w:lang w:val="es-AR" w:eastAsia="es-AR" w:bidi="es-AR"/>
        </w:rPr>
        <w:t xml:space="preserve"> </w:t>
      </w:r>
      <w:r>
        <w:rPr>
          <w:lang w:val="es-AR" w:eastAsia="es-AR" w:bidi="es-AR"/>
        </w:rPr>
        <w:t xml:space="preserve">al 19/8/22;</w:t>
      </w:r>
      <w:r>
        <w:rPr>
          <w:b/>
          <w:lang w:val="es-AR" w:eastAsia="es-AR" w:bidi="es-AR"/>
        </w:rPr>
        <w:t xml:space="preserve"> </w:t>
      </w:r>
      <w:r>
        <w:rPr>
          <w:lang w:val="es-AR" w:eastAsia="es-AR" w:bidi="es-AR"/>
        </w:rPr>
        <w:t xml:space="preserve">artículos 31 de la ley 13.951 y 31 del decreto 600/21-, y meritando en dicho orden el monto que resulta de la transacción arribada en el proceso</w:t>
      </w:r>
      <w:r>
        <w:rPr>
          <w:b/>
          <w:lang w:val="es-AR" w:eastAsia="es-AR" w:bidi="es-AR"/>
        </w:rPr>
        <w:t xml:space="preserve"> </w:t>
      </w:r>
      <w:r>
        <w:rPr>
          <w:lang w:val="es-AR" w:eastAsia="es-AR" w:bidi="es-AR"/>
        </w:rPr>
        <w:t xml:space="preserve">($21.000.000), valor jus al momento de la regulación de primera instancia</w:t>
      </w:r>
      <w:r>
        <w:rPr>
          <w:b/>
          <w:lang w:val="es-AR" w:eastAsia="es-AR" w:bidi="es-AR"/>
        </w:rPr>
        <w:t xml:space="preserve"> </w:t>
      </w:r>
      <w:r>
        <w:rPr>
          <w:lang w:val="es-AR" w:eastAsia="es-AR" w:bidi="es-AR"/>
        </w:rPr>
        <w:t xml:space="preserve">($40.684,</w:t>
      </w:r>
      <w:r>
        <w:rPr>
          <w:b/>
          <w:lang w:val="es-AR" w:eastAsia="es-AR" w:bidi="es-AR"/>
        </w:rPr>
        <w:t xml:space="preserve"> </w:t>
      </w:r>
      <w:r>
        <w:rPr>
          <w:lang w:val="es-AR" w:eastAsia="es-AR" w:bidi="es-AR"/>
        </w:rPr>
        <w:t xml:space="preserve">Ac.</w:t>
      </w:r>
      <w:r>
        <w:rPr>
          <w:b/>
          <w:lang w:val="es-AR" w:eastAsia="es-AR" w:bidi="es-AR"/>
        </w:rPr>
        <w:t xml:space="preserve"> </w:t>
      </w:r>
      <w:r>
        <w:rPr>
          <w:lang w:val="es-AR" w:eastAsia="es-AR" w:bidi="es-AR"/>
        </w:rPr>
        <w:t xml:space="preserve">4190/25 SCBA), monto del asunto equivalente a</w:t>
      </w:r>
      <w:r>
        <w:rPr>
          <w:b/>
          <w:lang w:val="es-AR" w:eastAsia="es-AR" w:bidi="es-AR"/>
        </w:rPr>
        <w:t xml:space="preserve"> </w:t>
      </w:r>
      <w:r>
        <w:rPr>
          <w:lang w:val="es-AR" w:eastAsia="es-AR" w:bidi="es-AR"/>
        </w:rPr>
        <w:t xml:space="preserve">516,17 jus, los honorarios por las tareas de mediación han sido debidamente fijados en la suma equivalente a</w:t>
      </w:r>
      <w:r>
        <w:rPr>
          <w:b/>
          <w:lang w:val="es-AR" w:eastAsia="es-AR" w:bidi="es-AR"/>
        </w:rPr>
        <w:t xml:space="preserve"> </w:t>
      </w:r>
      <w:r>
        <w:rPr>
          <w:lang w:val="es-AR" w:eastAsia="es-AR" w:bidi="es-AR"/>
        </w:rPr>
        <w:t xml:space="preserve">31,31 jus de unidad arancelaria</w:t>
      </w:r>
      <w:r>
        <w:rPr>
          <w:b/>
          <w:lang w:val="es-AR" w:eastAsia="es-AR" w:bidi="es-AR"/>
        </w:rPr>
        <w:t xml:space="preserve"> </w:t>
      </w:r>
      <w:r>
        <w:rPr>
          <w:lang w:val="es-AR" w:eastAsia="es-AR" w:bidi="es-AR"/>
        </w:rPr>
        <w:t xml:space="preserve">(art. 31 inc. "e" del decreto 600/21). </w:t>
      </w:r>
    </w:p>
    <w:p>
      <w:pPr>
        <w:pStyle w:val="[Normal]"/>
        <w:spacing w:line="360" w:lineRule="auto"/>
        <w:ind w:firstLine="1134"/>
        <w:jc w:val="both"/>
        <w:rPr>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w:t>
      </w:r>
      <w:r>
        <w:rPr>
          <w:i/>
          <w:u w:val="single"/>
          <w:lang w:val="es-AR" w:eastAsia="es-AR" w:bidi="es-AR"/>
        </w:rPr>
        <w:t xml:space="preserve">primera o única instancia</w:t>
      </w:r>
      <w:r>
        <w:rPr>
          <w:i/>
          <w:lang w:val="es-AR" w:eastAsia="es-AR" w:bidi="es-AR"/>
        </w:rPr>
        <w:t xml:space="preserve">,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07/08/2025 11:07:16 -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07/08/2025 11:35:23 -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07/08/2025 13:06:49 -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‰7c")è&amp;^B;UŠ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236702090006623427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07/08/2025 13:07:06 hs. bajo el número RS-97-2025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