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5680-25</w:t>
      </w:r>
      <w:r>
        <w:rPr>
          <w:lang w:val="es-AR" w:eastAsia="es-AR" w:bidi="es-AR"/>
        </w:rPr>
        <w:t xml:space="preserve"> caratulada </w:t>
      </w:r>
      <w:r>
        <w:rPr>
          <w:b/>
          <w:lang w:val="es-AR" w:eastAsia="es-AR" w:bidi="es-AR"/>
        </w:rPr>
        <w:t xml:space="preserve">"</w:t>
      </w:r>
      <w:r>
        <w:rPr>
          <w:b/>
          <w:color w:val="000000"/>
          <w:lang w:val="es-AR" w:eastAsia="es-AR" w:bidi="es-AR"/>
        </w:rPr>
        <w:t xml:space="preserve">ALEVATTO HECTOR DANIEL Y OTRO/A S/ SUCESION AB-INTESTATO</w:t>
      </w:r>
      <w:r>
        <w:rPr>
          <w:b/>
          <w:lang w:val="es-AR" w:eastAsia="es-AR" w:bidi="es-AR"/>
        </w:rPr>
        <w:t xml:space="preserve">"</w:t>
      </w:r>
      <w:r>
        <w:rPr>
          <w:lang w:val="es-AR" w:eastAsia="es-AR" w:bidi="es-AR"/>
        </w:rPr>
        <w:t xml:space="preserve">, Expte. N° 88.946 del Juzgado Civil y Comercial N° 2</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 en lo que fuera motivo de agravio?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magistrado de primera instancia mediante el decisorio atacado  reguló los honorarios profesionales de los letrados intervinientes al Dr. Alejo Orozco, por las 1ra y 2da etapas como comunes y a cargo de la masa, en 5,48 jus de unidad arancelaria; y de la Dra. Maria Bernarda Kehoe, por la 3ra etapa como comunes y a cargo de la masa, en 5,48 Jus de unidad arancelaria, y por la presentación de fecha 23-4-2024 como particulares y a cargo de los interesados en 1 Jus de unidad arancelaria, teniendo como base el valor impuesto al acto que determina el Código Fiscal de la Provincia de Buenos Aires.</w:t>
      </w:r>
    </w:p>
    <w:p>
      <w:pPr>
        <w:pStyle w:val="[Normal]"/>
        <w:spacing w:line="360" w:lineRule="auto"/>
        <w:ind w:firstLine="1134"/>
        <w:jc w:val="both"/>
        <w:rPr>
          <w:lang w:val="es-AR" w:eastAsia="es-AR" w:bidi="es-AR"/>
        </w:rPr>
      </w:pPr>
      <w:r>
        <w:rPr>
          <w:lang w:val="es-AR" w:eastAsia="es-AR" w:bidi="es-AR"/>
        </w:rPr>
        <w:t xml:space="preserve">El Dr. Orozco en su calidad de recurrente cuestiona que el a quo haya regulado honorarios profesionales tomando como base el valor fiscal del inmueble sin haber considerado la tasación  por él acompañada, la cual asciende a la suma de $60.000.000. </w:t>
      </w:r>
    </w:p>
    <w:p>
      <w:pPr>
        <w:pStyle w:val="[Normal]"/>
        <w:spacing w:line="360" w:lineRule="auto"/>
        <w:ind w:firstLine="1134"/>
        <w:jc w:val="both"/>
        <w:rPr>
          <w:lang w:val="es-AR" w:eastAsia="es-AR" w:bidi="es-AR"/>
        </w:rPr>
      </w:pPr>
      <w:r>
        <w:rPr>
          <w:lang w:val="es-AR" w:eastAsia="es-AR" w:bidi="es-AR"/>
        </w:rPr>
        <w:t xml:space="preserve">Sostiene que hizo uso de la facultad prevista en el artículo 35 de la Ley 14.967, y que expresó oportunamente su voluntad de que se aplicara como base regulatoria dicho valor, circunstancia que fue consentida por las partes obligadas al pago, quienes no formularon oposición alguna.</w:t>
      </w:r>
    </w:p>
    <w:p>
      <w:pPr>
        <w:pStyle w:val="[Normal]"/>
        <w:spacing w:line="360" w:lineRule="auto"/>
        <w:ind w:firstLine="1134"/>
        <w:jc w:val="both"/>
        <w:rPr>
          <w:lang w:val="es-AR" w:eastAsia="es-AR" w:bidi="es-AR"/>
        </w:rPr>
      </w:pPr>
      <w:r>
        <w:rPr>
          <w:lang w:val="es-AR" w:eastAsia="es-AR" w:bidi="es-AR"/>
        </w:rPr>
        <w:t xml:space="preserve"> Indica que a pesar de ello el juez se apartó sin fundamentación válida de la tasación presentada y utilizó un criterio diferente al legalmente habilitado, lo que —según el quejoso— implica una decisión arbitraria y carente de sustento legal.</w:t>
      </w:r>
    </w:p>
    <w:p>
      <w:pPr>
        <w:pStyle w:val="[Normal]"/>
        <w:spacing w:line="360" w:lineRule="auto"/>
        <w:ind w:firstLine="1134"/>
        <w:jc w:val="both"/>
        <w:rPr>
          <w:lang w:val="es-AR" w:eastAsia="es-AR" w:bidi="es-AR"/>
        </w:rPr>
      </w:pPr>
      <w:r>
        <w:rPr>
          <w:lang w:val="es-AR" w:eastAsia="es-AR" w:bidi="es-AR"/>
        </w:rPr>
        <w:t xml:space="preserve">Achaca que la interpretación del juez respecto a que la presentación de la declaración jurada patrimonial impide ejercer la facultad de estimar el valor del inmueble conforme al artículo 35, resulta errónea. Afirma que la ley expresamente autoriza al profesional a estimar el valor real del bien cuando el valor fiscal resulte inadecuado, siempre que dicha estimación sea efectuada antes de la regulación de honorarios. </w:t>
      </w:r>
    </w:p>
    <w:p>
      <w:pPr>
        <w:pStyle w:val="[Normal]"/>
        <w:spacing w:line="360" w:lineRule="auto"/>
        <w:ind w:firstLine="1134"/>
        <w:jc w:val="both"/>
        <w:rPr>
          <w:lang w:val="es-AR" w:eastAsia="es-AR" w:bidi="es-AR"/>
        </w:rPr>
      </w:pPr>
      <w:r>
        <w:rPr>
          <w:lang w:val="es-AR" w:eastAsia="es-AR" w:bidi="es-AR"/>
        </w:rPr>
        <w:t xml:space="preserve">Agrega que la resolución apelada vulnera el carácter alimentario del honorario profesional y su naturaleza retributiva, tal como lo establece el artículo 1 de la misma ley 14.967. Refiere que considerar los honorarios como una contraprestación al trabajo profesional implica reconocer su carácter de salario, con la consecuente protección legal que ello acarrea. Cita doctrina y jurisprudencia en apoyo a su postura.</w:t>
      </w:r>
    </w:p>
    <w:p>
      <w:pPr>
        <w:pStyle w:val="[Normal]"/>
        <w:spacing w:line="360" w:lineRule="auto"/>
        <w:ind w:firstLine="1134"/>
        <w:jc w:val="both"/>
        <w:rPr>
          <w:lang w:val="es-AR" w:eastAsia="es-AR" w:bidi="es-AR"/>
        </w:rPr>
      </w:pPr>
      <w:r>
        <w:rPr>
          <w:lang w:val="es-AR" w:eastAsia="es-AR" w:bidi="es-AR"/>
        </w:rPr>
        <w:t xml:space="preserve">Expuesta la cuestión en tales términos, la tarea revisora consistirá pues en evaluar el acierto o no de haber tomado la base regulatoria finalmente aplicada en el resolutorio en crisis.</w:t>
      </w:r>
    </w:p>
    <w:p>
      <w:pPr>
        <w:pStyle w:val="[Normal]"/>
        <w:spacing w:line="360" w:lineRule="auto"/>
        <w:ind w:firstLine="1134"/>
        <w:jc w:val="both"/>
        <w:rPr>
          <w:lang w:val="es-AR" w:eastAsia="es-AR" w:bidi="es-AR"/>
        </w:rPr>
      </w:pPr>
      <w:r>
        <w:rPr>
          <w:lang w:val="es-AR" w:eastAsia="es-AR" w:bidi="es-AR"/>
        </w:rPr>
        <w:t xml:space="preserve">Teniendo en cuenta que la normativa utilizada por el Juez de grado no aparece aquí cuestionada y que la totalidad de los trabajos profesionales efectuados lo han sido bajo la vigencia de la ley 14.967, se habrá de estar a lo dispuesto por la mentada ley como fuente regulatoria al caso bajo examen.</w:t>
      </w:r>
    </w:p>
    <w:p>
      <w:pPr>
        <w:pStyle w:val="[Normal]"/>
        <w:spacing w:line="360" w:lineRule="auto"/>
        <w:ind w:firstLine="1134"/>
        <w:jc w:val="both"/>
        <w:rPr>
          <w:lang w:val="es-AR" w:eastAsia="es-AR" w:bidi="es-AR"/>
        </w:rPr>
      </w:pPr>
      <w:r>
        <w:rPr>
          <w:lang w:val="es-AR" w:eastAsia="es-AR" w:bidi="es-AR"/>
        </w:rPr>
        <w:t xml:space="preserve">Sentado ello entiendo conveniente realizar un breve repaso de las actuaciones, a saber:</w:t>
      </w:r>
    </w:p>
    <w:p>
      <w:pPr>
        <w:pStyle w:val="[Normal]"/>
        <w:spacing w:line="360" w:lineRule="auto"/>
        <w:ind w:firstLine="1134"/>
        <w:jc w:val="both"/>
        <w:rPr>
          <w:lang w:val="es-AR" w:eastAsia="es-AR" w:bidi="es-AR"/>
        </w:rPr>
      </w:pPr>
      <w:r>
        <w:rPr>
          <w:lang w:val="es-AR" w:eastAsia="es-AR" w:bidi="es-AR"/>
        </w:rPr>
        <w:t xml:space="preserve">1) En fecha 1-2-2024 da inicio a este proceso la Sra. María Rita Alevatto, con el patrocinio del Dr. Orozco, en relación a los causantes Héctor Daniel Alevatto y Elsa Beatriz Lencina.</w:t>
      </w:r>
    </w:p>
    <w:p>
      <w:pPr>
        <w:pStyle w:val="[Normal]"/>
        <w:spacing w:line="360" w:lineRule="auto"/>
        <w:ind w:firstLine="1134"/>
        <w:jc w:val="both"/>
        <w:rPr>
          <w:lang w:val="es-AR" w:eastAsia="es-AR" w:bidi="es-AR"/>
        </w:rPr>
      </w:pPr>
      <w:r>
        <w:rPr>
          <w:lang w:val="es-AR" w:eastAsia="es-AR" w:bidi="es-AR"/>
        </w:rPr>
        <w:t xml:space="preserve">2) Mediante presentación del 23-4-2024 toman intervención los sres. Daniel Ángel, Juan José y Elsa Mercedes Alevatto con el patrocinio de la Dra. María Bernarda Kehoe.</w:t>
      </w:r>
    </w:p>
    <w:p>
      <w:pPr>
        <w:pStyle w:val="[Normal]"/>
        <w:spacing w:line="360" w:lineRule="auto"/>
        <w:ind w:firstLine="1134"/>
        <w:jc w:val="both"/>
        <w:rPr>
          <w:lang w:val="es-AR" w:eastAsia="es-AR" w:bidi="es-AR"/>
        </w:rPr>
      </w:pPr>
      <w:r>
        <w:rPr>
          <w:lang w:val="es-AR" w:eastAsia="es-AR" w:bidi="es-AR"/>
        </w:rPr>
        <w:t xml:space="preserve">3) Se dicta declaratoria de herederos en fecha 25-6-2024.</w:t>
      </w:r>
    </w:p>
    <w:p>
      <w:pPr>
        <w:pStyle w:val="[Normal]"/>
        <w:spacing w:line="360" w:lineRule="auto"/>
        <w:ind w:firstLine="1134"/>
        <w:jc w:val="both"/>
        <w:rPr>
          <w:lang w:val="es-AR" w:eastAsia="es-AR" w:bidi="es-AR"/>
        </w:rPr>
      </w:pPr>
      <w:r>
        <w:rPr>
          <w:lang w:val="es-AR" w:eastAsia="es-AR" w:bidi="es-AR"/>
        </w:rPr>
        <w:t xml:space="preserve">4) El 5-7-2024 los herederos Daniel Ángel, Juan José y Elsa Mercedes denuncian el bien inmueble partida inmobiliaria nro. (082) 39578.</w:t>
      </w:r>
    </w:p>
    <w:p>
      <w:pPr>
        <w:pStyle w:val="[Normal]"/>
        <w:spacing w:line="360" w:lineRule="auto"/>
        <w:ind w:firstLine="1134"/>
        <w:jc w:val="both"/>
        <w:rPr>
          <w:lang w:val="es-AR" w:eastAsia="es-AR" w:bidi="es-AR"/>
        </w:rPr>
      </w:pPr>
      <w:r>
        <w:rPr>
          <w:lang w:val="es-AR" w:eastAsia="es-AR" w:bidi="es-AR"/>
        </w:rPr>
        <w:t xml:space="preserve">5) Mediante providencia del 9-8-2024 el a quo acepta la declaración jurada patrimonial presentada y posteriormente ordena: "...</w:t>
      </w:r>
      <w:r>
        <w:rPr>
          <w:i/>
          <w:lang w:val="es-AR" w:eastAsia="es-AR" w:bidi="es-AR"/>
        </w:rPr>
        <w:t xml:space="preserve">hágase saber a los letrados actuantes que, a la hora de solicitar la regulación de honorarios -y a los fines de evitar futuras nulidades-, deberá manifestar si la petición es sobre las DJP o sobre el valor impuesto al acto. En caso de requerir esto último, deberá practicar la liquidación correspondiente, conforme la proporción que efectivamente transmita cada uno de los causantes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6) Los herederos Daniel Ángel, Juan José y Elsa Mercedes presentan escrito electrónico el 3-9-2024 clasificando las tareas de los letrados patrocinantes y solicitan regulación de honorarios tomando como base regulatoria el valor que arroja el impuesto al valor al acto (ARBA) en la suma de $ 2.006.098.</w:t>
      </w:r>
    </w:p>
    <w:p>
      <w:pPr>
        <w:pStyle w:val="[Normal]"/>
        <w:spacing w:line="360" w:lineRule="auto"/>
        <w:ind w:firstLine="1134"/>
        <w:jc w:val="both"/>
        <w:rPr>
          <w:lang w:val="es-AR" w:eastAsia="es-AR" w:bidi="es-AR"/>
        </w:rPr>
      </w:pPr>
      <w:r>
        <w:rPr>
          <w:lang w:val="es-AR" w:eastAsia="es-AR" w:bidi="es-AR"/>
        </w:rPr>
        <w:t xml:space="preserve">7) Habiéndose conferido el traslado pertinente de lo expuesto en el punto antecedente, el letrado Orozco mediante presentación electrónica del 16-9-2024 confirma la clasificación de tareas pero se opone a la opción ejercida por los herederos, solicitando se tome como base a los fines regulatorios la tasación del martillero publico Cristian Rosello que adjunta, la cual asciende a $ 60.000.000.</w:t>
      </w:r>
    </w:p>
    <w:p>
      <w:pPr>
        <w:pStyle w:val="[Normal]"/>
        <w:spacing w:line="360" w:lineRule="auto"/>
        <w:ind w:firstLine="1134"/>
        <w:jc w:val="both"/>
        <w:rPr>
          <w:lang w:val="es-AR" w:eastAsia="es-AR" w:bidi="es-AR"/>
        </w:rPr>
      </w:pPr>
      <w:r>
        <w:rPr>
          <w:lang w:val="es-AR" w:eastAsia="es-AR" w:bidi="es-AR"/>
        </w:rPr>
        <w:t xml:space="preserve">8) El juez de primera instancia a través de la resolución en crisis  regula honorarios tomando como base regulatoria la valuación fiscal al acto del inmueble denunciado en autos. </w:t>
      </w:r>
    </w:p>
    <w:p>
      <w:pPr>
        <w:pStyle w:val="[Normal]"/>
        <w:spacing w:line="360" w:lineRule="auto"/>
        <w:ind w:firstLine="1134"/>
        <w:jc w:val="both"/>
        <w:rPr>
          <w:lang w:val="es-AR" w:eastAsia="es-AR" w:bidi="es-AR"/>
        </w:rPr>
      </w:pPr>
      <w:r>
        <w:rPr>
          <w:lang w:val="es-AR" w:eastAsia="es-AR" w:bidi="es-AR"/>
        </w:rPr>
        <w:t xml:space="preserve">9) Vale aclarar que si bien el juzgador decretó el traslado de la oposición del Dr. Orozco en fecha 19-9-2024, el mismo fue contestado correctamente por lo obligados al pago en fecha 12-6-2025.</w:t>
      </w:r>
    </w:p>
    <w:p>
      <w:pPr>
        <w:pStyle w:val="[Normal]"/>
        <w:spacing w:line="360" w:lineRule="auto"/>
        <w:ind w:firstLine="1134"/>
        <w:jc w:val="both"/>
        <w:rPr>
          <w:lang w:val="es-AR" w:eastAsia="es-AR" w:bidi="es-AR"/>
        </w:rPr>
      </w:pPr>
      <w:r>
        <w:rPr>
          <w:lang w:val="es-AR" w:eastAsia="es-AR" w:bidi="es-AR"/>
        </w:rPr>
        <w:t xml:space="preserve">Conforme surge de las constancias de autos y del iter desarrollado precedentemente, debo manifestar que asiste razón al apelante en su planteo, correspondiendo dejar sin efecto el decisorio en crisis.</w:t>
      </w:r>
    </w:p>
    <w:p>
      <w:pPr>
        <w:pStyle w:val="[Normal]"/>
        <w:spacing w:line="360" w:lineRule="auto"/>
        <w:ind w:firstLine="1134"/>
        <w:jc w:val="both"/>
        <w:rPr>
          <w:lang w:val="es-AR" w:eastAsia="es-AR" w:bidi="es-AR"/>
        </w:rPr>
      </w:pPr>
      <w:r>
        <w:rPr>
          <w:lang w:val="es-AR" w:eastAsia="es-AR" w:bidi="es-AR"/>
        </w:rPr>
        <w:t xml:space="preserve">Y es que el art. 35 de la nueva ley arancelaria N° 14.967, si bien en sus primeros párrafos vino a mantener que en el proceso sucesorio, como base regulatoria en materia de inmuebles, ha de tomarse en cuenta la valuación fiscal que determine el Código Fiscal de la Provincia de Buenos Aires para la liquidación del impuesto al acto, al momento de la regulación, o en su defecto el valor de tasación o venta superior que constare en el expediente. A continuación introdujo expresamente que si profesional en cualquiera de ambos supuestos, reputare inadecuado el valor del inmueble, y siempre que no se trate del supuesto previsto en el párrafo subsiguiente -esto es, que el haber sucesorio se integre con un solo bien inmueble que hubiera constituido el hogar conyugal, y conserve su destino de vivienda familiar en beneficio del cónyuge, conviviente, ascendientes o descendientes declarados herederos-, podrá estimar su valor conforme lo previsto en el artículo 27 inc. a) de esta ley, en cuyo caso el porcentaje de la regulación respecto de ese inmueble no podrá superar el 12% del valor que finalmente se determine judicialmente.</w:t>
      </w:r>
    </w:p>
    <w:p>
      <w:pPr>
        <w:pStyle w:val="[Normal]"/>
        <w:spacing w:line="360" w:lineRule="auto"/>
        <w:ind w:firstLine="1134"/>
        <w:jc w:val="both"/>
        <w:rPr>
          <w:lang w:val="es-AR" w:eastAsia="es-AR" w:bidi="es-AR"/>
        </w:rPr>
      </w:pPr>
      <w:r>
        <w:rPr>
          <w:lang w:val="es-AR" w:eastAsia="es-AR" w:bidi="es-AR"/>
        </w:rPr>
        <w:t xml:space="preserve">Y ello es lo que ha acontecido en autos.</w:t>
      </w:r>
    </w:p>
    <w:p>
      <w:pPr>
        <w:pStyle w:val="[Normal]"/>
        <w:spacing w:line="360" w:lineRule="auto"/>
        <w:ind w:firstLine="1134"/>
        <w:jc w:val="both"/>
        <w:rPr>
          <w:lang w:val="es-AR" w:eastAsia="es-AR" w:bidi="es-AR"/>
        </w:rPr>
      </w:pPr>
      <w:r>
        <w:rPr>
          <w:lang w:val="es-AR" w:eastAsia="es-AR" w:bidi="es-AR"/>
        </w:rPr>
        <w:t xml:space="preserve">Surge de las constancias de autos y del breve resumen desarrollado supra, que en fecha 3-9-2024 los herederos Daniel Ángel, Juan José y Elsa Mercedes Alevatto y Lencina proceden a clasificar las tareas de los letrados patrocinantes y solicitan regulación de honorarios tomando como base regulatoria el valor que arroja el impuesto al valor al acto (ARBA) en la suma de $ 2.006.098.</w:t>
      </w:r>
    </w:p>
    <w:p>
      <w:pPr>
        <w:pStyle w:val="[Normal]"/>
        <w:spacing w:line="360" w:lineRule="auto"/>
        <w:ind w:firstLine="1134"/>
        <w:jc w:val="both"/>
        <w:rPr>
          <w:lang w:val="es-AR" w:eastAsia="es-AR" w:bidi="es-AR"/>
        </w:rPr>
      </w:pPr>
      <w:r>
        <w:rPr>
          <w:lang w:val="es-AR" w:eastAsia="es-AR" w:bidi="es-AR"/>
        </w:rPr>
        <w:t xml:space="preserve">El profesional apelante mediante la presentación del 16-9-2024 se opuso  y practicó estimación del valor del bien denunciado por los herederos con cita del art.35 y 27 inc a) de la LHP, por considerar irrisoria la valuación fiscal del mismo en comparación el valor de mercado que alegó conforme la tasación que adjuntó oportunamente efectuada por el martillero Rosello.</w:t>
      </w:r>
    </w:p>
    <w:p>
      <w:pPr>
        <w:pStyle w:val="[Normal]"/>
        <w:spacing w:line="360" w:lineRule="auto"/>
        <w:ind w:firstLine="1134"/>
        <w:jc w:val="both"/>
        <w:rPr>
          <w:i/>
          <w:lang w:val="es-AR" w:eastAsia="es-AR" w:bidi="es-AR"/>
        </w:rPr>
      </w:pPr>
      <w:r>
        <w:rPr>
          <w:lang w:val="es-AR" w:eastAsia="es-AR" w:bidi="es-AR"/>
        </w:rPr>
        <w:t xml:space="preserve">Consecuentemente el propio art 27 de la LHP literalmente expresa: "</w:t>
      </w:r>
      <w:r>
        <w:rPr>
          <w:i/>
          <w:lang w:val="es-AR" w:eastAsia="es-AR" w:bidi="es-AR"/>
        </w:rPr>
        <w:t xml:space="preserve">El monto de los juicios se determinará: a) Cuando se trate de juicios sobre bienes inmuebles o derechos sobre éstos, si no han sido tasados en autos, se tendrá como cuantía del asunto la valuación fiscal que aplica la Provincia de Buenos Aires en su Código Fiscal como impuesto al acto en la transmisión de los bienes inmuebles o derechos reales (sellos), que se incrementará en un veinte (20) por ciento.</w:t>
      </w:r>
      <w:r>
        <w:rPr>
          <w:i/>
          <w:u w:val="single"/>
          <w:lang w:val="es-AR" w:eastAsia="es-AR" w:bidi="es-AR"/>
        </w:rPr>
        <w:t xml:space="preserve"> No obstante, reputándose éstas inadecuadas al valor del inmueble, el profesional estimará el valor que le asigne, de lo que se dará traslado a las partes y letrados intervinientes. En caso de oposición, el juez designará perito de la lista oficial, tramitándose por un procedimiento especial estimatorio dentro del principal con el objeto de determinar el valor cuestionado del bien. El peritaje se pondrá de manifiesto por cinco (5) días, por auto que se notificará fehacientemente a las partes y letrados intervinientes. Si el valor que asigne el juez fuera más próximo al propuesto por el profesional, que el fiscal, o el que hubiere propuesto el obligado, las costas del incidente serán soportadas por este último; de lo contrario serán a cargo del profesional. Este procedimiento no impedirá que se dicte sentencia en el principal, difiriéndose la regulación de honorarios...</w:t>
      </w:r>
      <w:r>
        <w:rPr>
          <w:i/>
          <w:lang w:val="es-AR" w:eastAsia="es-AR" w:bidi="es-AR"/>
        </w:rPr>
        <w:t xml:space="preserve">" (</w:t>
      </w:r>
      <w:r>
        <w:rPr>
          <w:lang w:val="es-AR" w:eastAsia="es-AR" w:bidi="es-AR"/>
        </w:rPr>
        <w:t xml:space="preserve">el subrayado me pertenece</w:t>
      </w:r>
      <w:r>
        <w:rPr>
          <w:i/>
          <w:lang w:val="es-AR" w:eastAsia="es-AR" w:bidi="es-AR"/>
        </w:rPr>
        <w:t xml:space="preserve">).</w:t>
      </w:r>
    </w:p>
    <w:p>
      <w:pPr>
        <w:pStyle w:val="[Normal]"/>
        <w:spacing w:line="360" w:lineRule="auto"/>
        <w:ind w:firstLine="1134"/>
        <w:jc w:val="both"/>
        <w:rPr>
          <w:i/>
          <w:lang w:val="es-AR" w:eastAsia="es-AR" w:bidi="es-AR"/>
        </w:rPr>
      </w:pPr>
      <w:r>
        <w:rPr>
          <w:lang w:val="es-AR" w:eastAsia="es-AR" w:bidi="es-AR"/>
        </w:rPr>
        <w:t xml:space="preserve">Por lo expuesto, el planteo formulado por el quejoso en vistas a modificar la fuente regulatoria debe prosperar, por lo que propongo al acuerdo dejar sin efecto la resolución recurrida, debiendo llevarse a cabo el procedimiento estimatorio que indica el mencionado articulo 27 de la ley 14.967 sobre el bien inmueble denunciado en estas actuaciones.</w:t>
      </w:r>
    </w:p>
    <w:p>
      <w:pPr>
        <w:pStyle w:val="[Normal]"/>
        <w:spacing w:line="360" w:lineRule="auto"/>
        <w:ind w:firstLine="1134"/>
        <w:jc w:val="both"/>
        <w:rPr>
          <w:lang w:val="es-AR" w:eastAsia="es-AR" w:bidi="es-AR"/>
        </w:rPr>
      </w:pPr>
      <w:r>
        <w:rPr>
          <w:lang w:val="es-AR" w:eastAsia="es-AR" w:bidi="es-AR"/>
        </w:rPr>
        <w:t xml:space="preserve">A mayor abundamiento calificada doctrina a expresado que "</w:t>
      </w:r>
      <w:r>
        <w:rPr>
          <w:i/>
          <w:lang w:val="es-AR" w:eastAsia="es-AR" w:bidi="es-AR"/>
        </w:rPr>
        <w:t xml:space="preserve">conforme el art 27 de LH, a los fines regulatorios se puede tener en cuenta: 1) el valor de la tasación que se haya hecho durante el procedimiento; 2) la valuación fiscal incrementada en el porcentaje de ley; 3) el valor estimado por el profesional; 4) en caso de oposición el que se fije en judicialmente con motivo de la tasación que se realice.  En el primer supuesto, si durante la etapa del juicio se estableció el valor de inmueble, los honorarios se fijaran en función de dicha base. Si no hay tal constancia, podrá regularse conforme al valor fiscal, siempre que no haya oposición del profesional. Pero, si el letrado considera inadecuada la valuación fiscal, podrá estimar otro valor. Si las partes o abogados se oponen proponiendo otro valor, deberá designarse un perito oficial y finalmente  se fijará judicialmente</w:t>
      </w:r>
      <w:r>
        <w:rPr>
          <w:lang w:val="es-AR" w:eastAsia="es-AR" w:bidi="es-AR"/>
        </w:rPr>
        <w:t xml:space="preserve">". "Ribera, Carlos Enrique, Honorarios de Abogados en la Provincia de Buenos Aires (Comentario analítico de la ley 14.967) 1era. Ed, La Ley, Buenos Aires, 2020, pag 312-313.</w:t>
      </w:r>
    </w:p>
    <w:p>
      <w:pPr>
        <w:pStyle w:val="[Normal]"/>
        <w:spacing w:line="360" w:lineRule="auto"/>
        <w:ind w:firstLine="1134"/>
        <w:jc w:val="both"/>
        <w:rPr>
          <w:lang w:val="es-AR" w:eastAsia="es-AR" w:bidi="es-AR"/>
        </w:rPr>
      </w:pPr>
      <w:r>
        <w:rPr>
          <w:lang w:val="es-AR" w:eastAsia="es-AR" w:bidi="es-AR"/>
        </w:rPr>
        <w:t xml:space="preserve">Por último corresponde aclarar no se establecen costas en esta instancia por el tratamiento de la cuestión traída por cuanto en principio "El procedimiento de regulación de honorarios no constituye juicio contradictorio de índole tal que las genere por lo que el recurso deducido en aquel y los respectivos trabajos de Alzada no devengan honorarios". (confr.este Tribunal causas Nº 1291 RSI 10/2014, N° 2553 RSI 70/2016, ent. ots.)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interpuesto y en su mérito dejar sin efecto la resolución de 21-10-2024, disponiendo que en la instancia primera continúe el procedimiento previsto en el art. 27 inc. a) de la ley 14.967</w:t>
      </w:r>
    </w:p>
    <w:p>
      <w:pPr>
        <w:pStyle w:val="[Normal]"/>
        <w:spacing w:line="360" w:lineRule="auto"/>
        <w:ind w:firstLine="1134"/>
        <w:jc w:val="both"/>
        <w:rPr>
          <w:lang w:val="es-AR" w:eastAsia="es-AR" w:bidi="es-AR"/>
        </w:rPr>
      </w:pPr>
      <w:r>
        <w:rPr>
          <w:lang w:val="es-AR" w:eastAsia="es-AR" w:bidi="es-AR"/>
        </w:rPr>
        <w:t xml:space="preserve">Sin costas (arts. 68 2da. parte/69 CPCC). </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al recurso de apelación interpuesto y en su mérito revocar la resolución de 21-10-2024, disponiendo que en la instancia primera continúe el procedimiento previsto en el art. 27 inc. a) de la ley 14.967.</w:t>
      </w:r>
    </w:p>
    <w:p>
      <w:pPr>
        <w:pStyle w:val="[Normal]"/>
        <w:spacing w:line="360" w:lineRule="auto"/>
        <w:ind w:firstLine="1134"/>
        <w:jc w:val="both"/>
        <w:rPr>
          <w:lang w:val="es-AR" w:eastAsia="es-AR" w:bidi="es-AR"/>
        </w:rPr>
      </w:pPr>
      <w:r>
        <w:rPr>
          <w:lang w:val="es-AR" w:eastAsia="es-AR" w:bidi="es-AR"/>
        </w:rPr>
        <w:t xml:space="preserve">Sin costas de Alzada (art. 68/9 CPCC).</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al domicilio electrónico del letrado. Devuélvase.</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21/08/2025 10:40:29 -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21/08/2025 10:44:03 -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21/08/2025 11:40:54 -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‰7n")è&amp;_GR4Š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237802090006633950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21/08/2025 11:41:25 hs. bajo el número RS-109-2025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