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5632-25</w:t>
      </w:r>
      <w:r>
        <w:rPr>
          <w:lang w:val="es-AR" w:eastAsia="es-AR" w:bidi="es-AR"/>
        </w:rPr>
        <w:t xml:space="preserve"> caratulada </w:t>
      </w:r>
      <w:r>
        <w:rPr>
          <w:b/>
          <w:lang w:val="es-AR" w:eastAsia="es-AR" w:bidi="es-AR"/>
        </w:rPr>
        <w:t xml:space="preserve">"</w:t>
      </w:r>
      <w:r>
        <w:rPr>
          <w:b/>
          <w:color w:val="000000"/>
          <w:lang w:val="es-AR" w:eastAsia="es-AR" w:bidi="es-AR"/>
        </w:rPr>
        <w:t xml:space="preserve">MURIEL ALEJANDRO JULIO Y OTRO/A C/ COLOMBO Y SANTOS ANTONIO ISIDRO Y OTROS S/ PRESCRIPCION ADQUISITIVA LARGA</w:t>
      </w:r>
      <w:r>
        <w:rPr>
          <w:b/>
          <w:lang w:val="es-AR" w:eastAsia="es-AR" w:bidi="es-AR"/>
        </w:rPr>
        <w:t xml:space="preserve">"</w:t>
      </w:r>
      <w:r>
        <w:rPr>
          <w:lang w:val="es-AR" w:eastAsia="es-AR" w:bidi="es-AR"/>
        </w:rPr>
        <w:t xml:space="preserve">, Expte. </w:t>
      </w:r>
      <w:r>
        <w:rPr>
          <w:color w:val="000000"/>
          <w:lang w:val="es-AR" w:eastAsia="es-AR" w:bidi="es-AR"/>
        </w:rPr>
        <w:t xml:space="preserve">65.099</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primera instancia hizo lugar a la demanda de prescripción adquisitiva veinteañal promovida por Alejandro Julio Muriel y Enrique Darío Muriel contra Felipa Petra Santos, Francisco Ángel Colombo y Santos y Antonio Isidro Colombo y Santos, respecto del inmueble identificado catastralmente como Circ. I, Sección K, Quinta 126, Manzana 126c, Parcela 13, Partida Inmobiliaria 35713, Dominio Matrícula 45681 del Partido de Pergamino (82). Impuso las costas a cargo de la demandada y difirió la regulación de honorarios hasta tanto se cumpla con lo dispuesto en el art. 27 de la ley 14.967.</w:t>
      </w:r>
    </w:p>
    <w:p>
      <w:pPr>
        <w:pStyle w:val="[Normal]"/>
        <w:spacing w:line="360" w:lineRule="auto"/>
        <w:ind w:firstLine="1134"/>
        <w:jc w:val="both"/>
        <w:rPr>
          <w:lang w:val="es-AR" w:eastAsia="es-AR" w:bidi="es-AR"/>
        </w:rPr>
      </w:pPr>
      <w:r>
        <w:rPr>
          <w:lang w:val="es-AR" w:eastAsia="es-AR" w:bidi="es-AR"/>
        </w:rPr>
        <w:t xml:space="preserve">Disconformes con lo resuelto, los codemandados interpusieron recursos de apelación en estas fechas: Colombo Alejandro Ariel, 10 de marzo de 2025; Frugoli Carmelinda Martha y Colombo Angel Leonardo, 10 de marzo de 2025; Colombo Mariela Luján, 12 de marzo de 2025; y Colombo Francisco Claudio Vicente, 13 de marzo de 2025. La parte actora respondió a los agravios recíprocos el 13 y 16 de junio de 2025, mientras que los codemandados no contestaron los traslados conferidos el 19 de junio de 2025.</w:t>
      </w:r>
    </w:p>
    <w:p>
      <w:pPr>
        <w:pStyle w:val="[Normal]"/>
        <w:spacing w:line="360" w:lineRule="auto"/>
        <w:ind w:firstLine="1134"/>
        <w:jc w:val="both"/>
        <w:rPr>
          <w:lang w:val="es-AR" w:eastAsia="es-AR" w:bidi="es-AR"/>
        </w:rPr>
      </w:pPr>
      <w:r>
        <w:rPr>
          <w:color w:val="000000"/>
          <w:lang w:val="es-AR" w:eastAsia="es-AR" w:bidi="es-AR"/>
        </w:rPr>
        <w:t xml:space="preserve">En fecha 19 de junio de 2025, se procedió al llamamiento de autos para sentencia, quedando la causa en condiciones de ser tratada.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b/>
          <w:color w:val="000000"/>
          <w:sz w:val="24"/>
          <w:u w:val="single"/>
          <w:lang w:val="es-AR" w:eastAsia="es-AR" w:bidi="es-AR"/>
        </w:rPr>
        <w:t xml:space="preserve">Agravios co demandado Alejandro Ariel Colombo:</w:t>
      </w:r>
      <w:r>
        <w:rPr>
          <w:rFonts w:ascii="Arial" w:hAnsi="Arial" w:eastAsia="Arial" w:cs="Arial"/>
          <w:sz w:val="24"/>
          <w:lang w:val="es-AR" w:eastAsia="es-AR" w:bidi="es-AR"/>
        </w:rPr>
        <w:t xml:space="preserve"> sostiene que no se acreditaron en autos los elementos constitutivos de la posesión -corpus y animus domini- conforme lo exige la legislación fondal.-</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Reprocha al sentenciante haber considerado acreditada una posesión apta para usucapir sin prueba objetiva suficiente, señalando: la ausencia de pago del impuesto inmobiliario, la insuficiencia del único pago de tasas municipales (año 2015), la falta de mejoras sustanciales en el inmueble, la escasa e inconsistente documentación (referida a otras direcciones o a terceros ajenos), y la existencia de actos compatibles con una tenencia precaria.-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Invoca la existencia de elementos objetivos que dan cuenta del abandono del inmueble por parte de los actores, tales como: constataciones oficiales sobre el estado de deterioro del predio, vegetación añeja, portón roto, maquinaria en desuso, testimonio de un empleado que refirió el traslado de los actores a otro domicilio desde hace más de una década, y multas municipales por falta de mantenimiento. Todo ello demostrando la interrupción de la supuesta posesión invocada.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Advierte que los propios actores reconocieron en su demanda el ingreso al inmueble con el consentimiento de la titular registral, lo que configura inicialmente una mera tenencia. Alega que no se acreditaron actos exteriores, claros e inequívocos que evidencien interversión de título conforme lo exige la ley.</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Se duele de la falta de valoración de prueba relevante aportada por ella que acredita su propia actividad posesorias, tales como colocación en venta del inmueble, limpieza, conexión de servicios, pago de impuestos provinciales y tasas municipales, y trámites sucesorios iniciados por su parte.</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Aduce la existencia de razonamientos inconsistentes en la decisión de grado, que primero reconoce un contrato de comodato como inicio de la relación, luego una "confesión extrajudicial" referida a tenencia, para concluir finalmente con una interversión retroactiva basada en manifestaciones extemporáneas, contradiciendo principios jurídicos elementales.</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Denuncia que la sentencia funda parte de su razonamiento en causas penales referidas a inmuebles ubicados en otras direcciones, sin relación con el inmueble objeto de la Litis lo cual vulnera el principio de congruencia.-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Impugna la imposición de costas a la demandada, solicitándose su eximición por mediar razones fundadas para litigar, o su distribución proporcional al interés representado en el proceso.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Manifiesta la incorporación por parte de los actores de prueba presuntamente apócrifa, ya investigada penalmente, así como la aportación de documentación referida a inmuebles distintos, lo cual debió ser valorado negativamente como pauta de conducta procesal maliciosa.-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Por último, solicita se revoque la sentencia de grado en todas sus partes y se rechace la demanda con costas a los actores.-</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b/>
          <w:color w:val="000000"/>
          <w:sz w:val="24"/>
          <w:u w:val="single"/>
          <w:shd w:val="clear" w:color="auto" w:fill="FFFFFF"/>
          <w:lang w:val="es-AR" w:eastAsia="es-AR" w:bidi="es-AR"/>
        </w:rPr>
      </w:pPr>
      <w:r>
        <w:rPr>
          <w:rFonts w:ascii="Arial" w:hAnsi="Arial" w:eastAsia="Arial" w:cs="Arial"/>
          <w:b/>
          <w:sz w:val="24"/>
          <w:u w:val="single"/>
          <w:lang w:val="es-AR" w:eastAsia="es-AR" w:bidi="es-AR"/>
        </w:rPr>
        <w:t xml:space="preserve">Agravios codemandados</w:t>
      </w:r>
      <w:r>
        <w:rPr>
          <w:rFonts w:ascii="Arial" w:hAnsi="Arial" w:eastAsia="Arial" w:cs="Arial"/>
          <w:sz w:val="24"/>
          <w:u w:val="single"/>
          <w:lang w:val="es-AR" w:eastAsia="es-AR" w:bidi="es-AR"/>
        </w:rPr>
        <w:t xml:space="preserve"> </w:t>
      </w:r>
      <w:r>
        <w:rPr>
          <w:rFonts w:ascii="Arial" w:hAnsi="Arial" w:eastAsia="Arial" w:cs="Arial"/>
          <w:b/>
          <w:color w:val="000000"/>
          <w:sz w:val="24"/>
          <w:u w:val="single"/>
          <w:shd w:val="clear" w:color="auto" w:fill="FFFFFF"/>
          <w:lang w:val="es-AR" w:eastAsia="es-AR" w:bidi="es-AR"/>
        </w:rPr>
        <w:t xml:space="preserve">Carmelinda Martha Frugoli, Ángel Leonardo y Francisco Claudio Vicente Colombo: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Se duelen  de que el sentenciante de grado haya hecho lugar a la demanda de prescripción adquisitiva, sosteniendo que no se ha acreditado la posesión veinteañal exigida por la ley, ni en sus aspectos materiales (corpus) ni subjetivos (animus domini).</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Afirman que el a quo incurre en errónea valoración de la prueba, omite considerar la exigencia de prueba compuesta y sostiene su fallo principalmente en declaraciones testimoniales inidóneas, carentes de respaldo documental y brindadas por personas comprendidas en las generales de la ley.</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Señalan además que el contrato de comodato invocado carece de valor por haber sido desconocido y no referirse al inmueble objeto de autos, y que el único otro elemento invocado por la actora –una manifestación unilateral del año 2020– es insuficiente para acreditar una posesión iniciada en 1997.</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Sostienen que los supuestos actos posesorios invocados (mantenimiento del predio, alambrado, instalación eléctrica) no acreditan per se animus domini, pudiendo ser compatibles con una simple tenencia precaria, y remarca que los dichos de los testigos resultan contradictorios entre sí, sin sustento documental y viciados por intereses personales.</w:t>
      </w:r>
    </w:p>
    <w:p>
      <w:pPr>
        <w:pStyle w:val="[Normal]"/>
        <w:spacing w:line="360" w:lineRule="auto"/>
        <w:ind w:firstLine="1134"/>
        <w:jc w:val="both"/>
        <w:rPr>
          <w:lang w:val="es-AR" w:eastAsia="es-AR" w:bidi="es-AR"/>
        </w:rPr>
      </w:pPr>
      <w:r>
        <w:rPr>
          <w:lang w:val="es-AR" w:eastAsia="es-AR" w:bidi="es-AR"/>
        </w:rPr>
        <w:t xml:space="preserve">Manifiestan que las causas penales mencionadas en el fallo de grado —relativas a denuncias por robos— no constituyen actos posesorios, carecen de relevancia jurídica para fundar animus domini y, además, refieren a un inmueble distinto al que es objeto del proceso. Agrega que tales referencias se limitan a un acotado período temporal (2005–2007), insuficiente para fundar la prescripción adquisitiva veinteañal.</w:t>
      </w:r>
    </w:p>
    <w:p>
      <w:pPr>
        <w:pStyle w:val="[Normal]"/>
        <w:spacing w:line="360" w:lineRule="auto"/>
        <w:ind w:firstLine="1134"/>
        <w:jc w:val="both"/>
        <w:rPr>
          <w:lang w:val="es-AR" w:eastAsia="es-AR" w:bidi="es-AR"/>
        </w:rPr>
      </w:pPr>
      <w:r>
        <w:rPr>
          <w:lang w:val="es-AR" w:eastAsia="es-AR" w:bidi="es-AR"/>
        </w:rPr>
        <w:t xml:space="preserve">Asimismo, se agravia de la conclusión del a quo en cuanto a que los actores habrían abonado servicios e impuestos durante dieciocho años. Denuncia un apartamiento de las constancias objetivas de la causa, en tanto: i) la documentación acompañada por la actora no corresponde al inmueble sito en Vuelta de Obligado 2950 sino al 2930; ii) los comprobantes no son recibos de pago sino resúmenes de cuenta emitidos a nombre de un tercero (COINSUD S.R.L.); iii) el medidor eléctrico allí involucrado fue dado de baja en 2013, por lo que mal puede sostenerse una continuidad en el pago por el plazo exigido.</w:t>
      </w:r>
    </w:p>
    <w:p>
      <w:pPr>
        <w:pStyle w:val="[Normal]"/>
        <w:spacing w:line="360" w:lineRule="auto"/>
        <w:ind w:firstLine="1134"/>
        <w:jc w:val="both"/>
        <w:rPr>
          <w:lang w:val="es-AR" w:eastAsia="es-AR" w:bidi="es-AR"/>
        </w:rPr>
      </w:pPr>
      <w:r>
        <w:rPr>
          <w:lang w:val="es-AR" w:eastAsia="es-AR" w:bidi="es-AR"/>
        </w:rPr>
        <w:t xml:space="preserve">En igual sentido, refieren que los actores no han acreditado pago alguno del impuesto inmobiliario, mientras que los demandados sí han cumplido con esa obligación durante varios años anteriores a la interposición de la demanda, lo que surge de prueba documental firme y consentida. Respecto a las tasas municipales, afirma que los actores solo habrían abonado una en el año 2015, con el único objeto de preconstituir prueba para iniciar la presente acción.</w:t>
      </w:r>
    </w:p>
    <w:p>
      <w:pPr>
        <w:pStyle w:val="[Normal]"/>
        <w:spacing w:line="360" w:lineRule="auto"/>
        <w:ind w:firstLine="1134"/>
        <w:jc w:val="both"/>
        <w:rPr>
          <w:lang w:val="es-AR" w:eastAsia="es-AR" w:bidi="es-AR"/>
        </w:rPr>
      </w:pPr>
      <w:r>
        <w:rPr>
          <w:lang w:val="es-AR" w:eastAsia="es-AR" w:bidi="es-AR"/>
        </w:rPr>
        <w:t xml:space="preserve">También impugnan la valoración efectuada por el juez a quo sobre el pago de una multa municipal por falta de limpieza, señalando que dicho hecho no demuestra animus domini sino más bien abandono o desinterés de los actores respecto del inmueble.</w:t>
      </w:r>
    </w:p>
    <w:p>
      <w:pPr>
        <w:pStyle w:val="[Normal]"/>
        <w:spacing w:line="360" w:lineRule="auto"/>
        <w:ind w:firstLine="1134"/>
        <w:jc w:val="both"/>
        <w:rPr>
          <w:lang w:val="es-AR" w:eastAsia="es-AR" w:bidi="es-AR"/>
        </w:rPr>
      </w:pPr>
      <w:r>
        <w:rPr>
          <w:lang w:val="es-AR" w:eastAsia="es-AR" w:bidi="es-AR"/>
        </w:rPr>
        <w:t xml:space="preserve">Critican que el sentenciante haya inferido un supuesto desinterés de los demandados en conservar el predio, lo cual considera jurídicamente improcedente, por cuanto el dominio no se presume renunciado y los herederos del titular registral conservan el derecho sin necesidad de actos posesorios efectivos. </w:t>
      </w:r>
    </w:p>
    <w:p>
      <w:pPr>
        <w:pStyle w:val="[Normal]"/>
        <w:spacing w:line="360" w:lineRule="auto"/>
        <w:ind w:firstLine="1134"/>
        <w:jc w:val="both"/>
        <w:rPr>
          <w:lang w:val="es-AR" w:eastAsia="es-AR" w:bidi="es-AR"/>
        </w:rPr>
      </w:pPr>
      <w:r>
        <w:rPr>
          <w:lang w:val="es-AR" w:eastAsia="es-AR" w:bidi="es-AR"/>
        </w:rPr>
        <w:t xml:space="preserve">Finalmente, aducen que su parte ha producido prueba suficiente que acredita actos de conservación y ejercicio del dominio —tales como pagos de impuestos, tasas, servicios y gestiones administrativas— realizados de forma periódica y sostenida, lo cual fue injustamente soslayado por el fallo apelado.-</w:t>
      </w:r>
    </w:p>
    <w:p>
      <w:pPr>
        <w:pStyle w:val="[Normal]"/>
        <w:spacing w:line="360" w:lineRule="auto"/>
        <w:ind w:firstLine="1134"/>
        <w:jc w:val="both"/>
        <w:rPr>
          <w:b/>
          <w:u w:val="single"/>
          <w:lang w:val="es-AR" w:eastAsia="es-AR" w:bidi="es-AR"/>
        </w:rPr>
      </w:pPr>
      <w:r>
        <w:rPr>
          <w:b/>
          <w:u w:val="single"/>
          <w:lang w:val="es-AR" w:eastAsia="es-AR" w:bidi="es-AR"/>
        </w:rPr>
        <w:t xml:space="preserve">Agravios codemandada Mariela Lujan Colombo:</w:t>
      </w:r>
    </w:p>
    <w:p>
      <w:pPr>
        <w:pStyle w:val="[Normal]"/>
        <w:spacing w:line="360" w:lineRule="auto"/>
        <w:ind w:firstLine="1134"/>
        <w:jc w:val="both"/>
        <w:rPr>
          <w:lang w:val="es-AR" w:eastAsia="es-AR" w:bidi="es-AR"/>
        </w:rPr>
      </w:pPr>
      <w:r>
        <w:rPr>
          <w:lang w:val="es-AR" w:eastAsia="es-AR" w:bidi="es-AR"/>
        </w:rPr>
        <w:t xml:space="preserve">La recurrente cuestiona, en primer lugar, la errónea valoración del plazo de posesión efectuada por el juez a quo, en tanto se computaron como actos posesorios situaciones que —a su criterio— sólo configuraban mera tenencia, sin reunir los requisitos legalmente exigidos.-</w:t>
      </w:r>
    </w:p>
    <w:p>
      <w:pPr>
        <w:pStyle w:val="[Normal]"/>
        <w:spacing w:line="360" w:lineRule="auto"/>
        <w:ind w:firstLine="1134"/>
        <w:jc w:val="both"/>
        <w:rPr>
          <w:lang w:val="es-AR" w:eastAsia="es-AR" w:bidi="es-AR"/>
        </w:rPr>
      </w:pPr>
      <w:r>
        <w:rPr>
          <w:lang w:val="es-AR" w:eastAsia="es-AR" w:bidi="es-AR"/>
        </w:rPr>
        <w:t xml:space="preserve">Destaca que el ingreso al inmueble por parte del causante de los actores fue consentido por la propietaria, sin exteriorización de animus domini ni posterior interversión de título, lo que tornaría improcedente el inicio del cómputo posesorio.-</w:t>
      </w:r>
    </w:p>
    <w:p>
      <w:pPr>
        <w:pStyle w:val="[Normal]"/>
        <w:spacing w:line="360" w:lineRule="auto"/>
        <w:ind w:firstLine="1134"/>
        <w:jc w:val="both"/>
        <w:rPr>
          <w:lang w:val="es-AR" w:eastAsia="es-AR" w:bidi="es-AR"/>
        </w:rPr>
      </w:pPr>
      <w:r>
        <w:rPr>
          <w:lang w:val="es-AR" w:eastAsia="es-AR" w:bidi="es-AR"/>
        </w:rPr>
        <w:t xml:space="preserve">Aduna a ello la falta de legitimación activa de los actores, toda vez que su permanencia en el inmueble tuvo origen en un uso tolerado, sin que hayan demostrado haber ejercido la posesión en forma pública, pacífica, continua y con intención de dueño.-</w:t>
      </w:r>
    </w:p>
    <w:p>
      <w:pPr>
        <w:pStyle w:val="[Normal]"/>
        <w:spacing w:line="360" w:lineRule="auto"/>
        <w:ind w:firstLine="1134"/>
        <w:jc w:val="both"/>
        <w:rPr>
          <w:lang w:val="es-AR" w:eastAsia="es-AR" w:bidi="es-AR"/>
        </w:rPr>
      </w:pPr>
      <w:r>
        <w:rPr>
          <w:lang w:val="es-AR" w:eastAsia="es-AR" w:bidi="es-AR"/>
        </w:rPr>
        <w:t xml:space="preserve">Asimismo, se queja de la ausencia de prueba idónea e independiente que acredite actos posesorios útiles por parte de los actores, señalando que la sentencia se apoya casi exclusivamente en testimonios de personas allegadas, sin respaldo documental que permita afirmar la existencia de una posesión hábil para prescribir.</w:t>
      </w:r>
    </w:p>
    <w:p>
      <w:pPr>
        <w:pStyle w:val="[Normal]"/>
        <w:spacing w:line="360" w:lineRule="auto"/>
        <w:ind w:firstLine="1134"/>
        <w:jc w:val="both"/>
        <w:rPr>
          <w:lang w:val="es-AR" w:eastAsia="es-AR" w:bidi="es-AR"/>
        </w:rPr>
      </w:pPr>
      <w:r>
        <w:rPr>
          <w:lang w:val="es-AR" w:eastAsia="es-AR" w:bidi="es-AR"/>
        </w:rPr>
        <w:t xml:space="preserve">También reprocha la falta de continuidad y exclusividad en la ocupación alegada, mencionando interrupciones fácticas y actos posesorios por parte del titular registral que desvirtuarían la pretensión prescriptiva.-</w:t>
      </w:r>
    </w:p>
    <w:p>
      <w:pPr>
        <w:pStyle w:val="[Normal]"/>
        <w:spacing w:line="360" w:lineRule="auto"/>
        <w:ind w:firstLine="1134"/>
        <w:jc w:val="both"/>
        <w:rPr>
          <w:lang w:val="es-AR" w:eastAsia="es-AR" w:bidi="es-AR"/>
        </w:rPr>
      </w:pPr>
      <w:r>
        <w:rPr>
          <w:lang w:val="es-AR" w:eastAsia="es-AR" w:bidi="es-AR"/>
        </w:rPr>
        <w:t xml:space="preserve">Cuestiona, además, la omisión del sentenciante en la valoración de la prueba producida por su parte, en especial aquella que acredita la falta de actos posesorios por parte de los actores y el mantenimiento de vínculos jurídicos con el inmueble por parte de los herederos del titular dominial.-</w:t>
      </w:r>
    </w:p>
    <w:p>
      <w:pPr>
        <w:pStyle w:val="[Normal]"/>
        <w:spacing w:line="360" w:lineRule="auto"/>
        <w:ind w:firstLine="1134"/>
        <w:jc w:val="both"/>
        <w:rPr>
          <w:lang w:val="es-AR" w:eastAsia="es-AR" w:bidi="es-AR"/>
        </w:rPr>
      </w:pPr>
      <w:r>
        <w:rPr>
          <w:lang w:val="es-AR" w:eastAsia="es-AR" w:bidi="es-AR"/>
        </w:rPr>
        <w:t xml:space="preserve">Denuncia una incorrecta aplicación del instituto de la interversión del título, afirmando que en autos no se configuró manifestación alguna de oposición real al derecho del titular registral que permitiera transformar la tenencia originaria en posesión.-</w:t>
      </w:r>
    </w:p>
    <w:p>
      <w:pPr>
        <w:pStyle w:val="[Normal]"/>
        <w:spacing w:line="360" w:lineRule="auto"/>
        <w:ind w:firstLine="1134"/>
        <w:jc w:val="both"/>
        <w:rPr>
          <w:lang w:val="es-AR" w:eastAsia="es-AR" w:bidi="es-AR"/>
        </w:rPr>
      </w:pPr>
      <w:r>
        <w:rPr>
          <w:lang w:val="es-AR" w:eastAsia="es-AR" w:bidi="es-AR"/>
        </w:rPr>
        <w:t xml:space="preserve">Por último, solicita se revoque la sentencia de grado y se rechace la demanda con costas a la actora.-</w:t>
      </w:r>
    </w:p>
    <w:p>
      <w:pPr>
        <w:pStyle w:val="[Normal]"/>
        <w:spacing w:line="360" w:lineRule="auto"/>
        <w:ind w:firstLine="1134"/>
        <w:jc w:val="both"/>
        <w:rPr>
          <w:lang w:val="es-AR" w:eastAsia="es-AR" w:bidi="es-AR"/>
        </w:rPr>
      </w:pPr>
      <w:r>
        <w:rPr>
          <w:lang w:val="es-AR" w:eastAsia="es-AR" w:bidi="es-AR"/>
        </w:rPr>
        <w:t xml:space="preserve">Al contestar los traslados conferidos, la actora rebate los argumentos expuestos por los codemandados y solicita se rechace los recursos de apelación deducidos con costas a los recurrentes por resultar vencidos y conjuntamente pide como medida para mejor proveer se incorporen dos causas penales IPP 232-23 Y IPP 711-23.-</w:t>
      </w:r>
    </w:p>
    <w:p>
      <w:pPr>
        <w:pStyle w:val="[Normal]"/>
        <w:spacing w:line="360" w:lineRule="auto"/>
        <w:ind w:firstLine="1134"/>
        <w:jc w:val="both"/>
        <w:rPr>
          <w:lang w:val="es-AR" w:eastAsia="es-AR" w:bidi="es-AR"/>
        </w:rPr>
      </w:pPr>
      <w:r>
        <w:rPr>
          <w:lang w:val="es-AR" w:eastAsia="es-AR" w:bidi="es-AR"/>
        </w:rPr>
        <w:t xml:space="preserve">Entrando a resolver, corresponde destacar que el instituto de la prescripción adquisitiva exige una valoración estricta y rigurosa de la prueba, conforme reiterada doctrina de la Suprema Corte de la Provincia de Buenos Aires (cfr. SCBA, causa C 98364 del 11/03/2009; causa C 98183 del 11/11/2009).</w:t>
      </w:r>
    </w:p>
    <w:p>
      <w:pPr>
        <w:pStyle w:val="[Normal]"/>
        <w:spacing w:line="360" w:lineRule="auto"/>
        <w:ind w:firstLine="1134"/>
        <w:jc w:val="both"/>
        <w:rPr>
          <w:lang w:val="es-AR" w:eastAsia="es-AR" w:bidi="es-AR"/>
        </w:rPr>
      </w:pPr>
      <w:r>
        <w:rPr>
          <w:lang w:val="es-AR" w:eastAsia="es-AR" w:bidi="es-AR"/>
        </w:rPr>
        <w:t xml:space="preserve"> Así, los extremos requeridos para viabilizar la acción de usucapión son la existencia del corpus, entendido como el ejercicio del poder de hecho, de señorío sobre una cosa; del animus, es decir, de la intención de mantener la cosa para sí; y el mantenimiento de ambos requisitos durante el plazo requerido por ley, en forma pública y pacífica (CC0001 Lz 61653 RSD-154-6 S 20-6-2006 I JUBA B2550662).</w:t>
      </w:r>
    </w:p>
    <w:p>
      <w:pPr>
        <w:pStyle w:val="[Normal]"/>
        <w:spacing w:line="360" w:lineRule="auto"/>
        <w:ind w:firstLine="1134"/>
        <w:jc w:val="both"/>
        <w:rPr>
          <w:lang w:val="es-AR" w:eastAsia="es-AR" w:bidi="es-AR"/>
        </w:rPr>
      </w:pPr>
      <w:r>
        <w:rPr>
          <w:lang w:val="es-AR" w:eastAsia="es-AR" w:bidi="es-AR"/>
        </w:rPr>
        <w:t xml:space="preserve">Los agravios de los recurrentes se centran en tres puntos: a) incorrecta aplicación de la interversión del título, b) errónea valoración de la prueba, y c) falta de acreditación de corpus posesorio y animus domini.</w:t>
      </w:r>
    </w:p>
    <w:p>
      <w:pPr>
        <w:pStyle w:val="[Normal]"/>
        <w:spacing w:line="360" w:lineRule="auto"/>
        <w:ind w:firstLine="1134"/>
        <w:jc w:val="both"/>
        <w:rPr>
          <w:lang w:val="es-AR" w:eastAsia="es-AR" w:bidi="es-AR"/>
        </w:rPr>
      </w:pPr>
      <w:r>
        <w:rPr>
          <w:lang w:val="es-AR" w:eastAsia="es-AR" w:bidi="es-AR"/>
        </w:rPr>
        <w:t xml:space="preserve">Por razones metodológicas, trataré conjuntamente todos los agravios dado que por la materia debatida en autos los mismos se relacionan impidiendo su análisis por separado.-</w:t>
      </w:r>
    </w:p>
    <w:p>
      <w:pPr>
        <w:pStyle w:val="[Normal]"/>
        <w:spacing w:line="360" w:lineRule="auto"/>
        <w:ind w:firstLine="1134"/>
        <w:jc w:val="both"/>
        <w:rPr>
          <w:lang w:val="es-AR" w:eastAsia="es-AR" w:bidi="es-AR"/>
        </w:rPr>
      </w:pPr>
      <w:r>
        <w:rPr>
          <w:lang w:val="es-AR" w:eastAsia="es-AR" w:bidi="es-AR"/>
        </w:rPr>
        <w:t xml:space="preserve">El magistrado de grado ha sostenido en su fallo "</w:t>
      </w:r>
      <w:r>
        <w:rPr>
          <w:i/>
          <w:lang w:val="es-AR" w:eastAsia="es-AR" w:bidi="es-AR"/>
        </w:rPr>
        <w:t xml:space="preserve">a fs. 24 consta acta de notificación al Sr. Alejandro Julio Muriel en la que expone: "... Que hace aproximadamente treinta años que me encuentro poseyendo el terreno en el cuál se constata la presunta falta. Que las maquinarias que se encuentran depositadas son de mi propiedad...". Esta manifestación, vertida en un instrumento público, acredita la interversión del título operada desde el momento mismo en que, al decir de Colombo, recibió el inmueble de Felipa Santos"</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Dicho ello, considero que yerra el a quo en su razonamiento por las razones que seguidamente paso a explicar.-</w:t>
      </w:r>
    </w:p>
    <w:p>
      <w:pPr>
        <w:pStyle w:val="[Normal]"/>
        <w:spacing w:line="360" w:lineRule="auto"/>
        <w:ind w:firstLine="1134"/>
        <w:jc w:val="both"/>
        <w:rPr>
          <w:lang w:val="es-AR" w:eastAsia="es-AR" w:bidi="es-AR"/>
        </w:rPr>
      </w:pPr>
      <w:r>
        <w:rPr>
          <w:lang w:val="es-AR" w:eastAsia="es-AR" w:bidi="es-AR"/>
        </w:rPr>
        <w:t xml:space="preserve">El elemento que diferencia a la posesión de la tenencia es que el que tiene la cosa para sí es poseedor, en tanto que el que la tiene para otro es tenedor.-</w:t>
      </w:r>
    </w:p>
    <w:p>
      <w:pPr>
        <w:pStyle w:val="[Normal]"/>
        <w:spacing w:line="360" w:lineRule="auto"/>
        <w:ind w:firstLine="1134"/>
        <w:jc w:val="both"/>
        <w:rPr>
          <w:lang w:val="es-AR" w:eastAsia="es-AR" w:bidi="es-AR"/>
        </w:rPr>
      </w:pPr>
      <w:r>
        <w:rPr>
          <w:lang w:val="es-AR" w:eastAsia="es-AR" w:bidi="es-AR"/>
        </w:rPr>
        <w:t xml:space="preserve">El artículo 1915 del CCyC establece que el tenedor puede intervertir su título, convirtiéndose en poseedor, si manifiesta por actos exteriores la intención de privar al poseedor de disponer de la cosa, y sus actos producen ese efecto.-</w:t>
      </w:r>
    </w:p>
    <w:p>
      <w:pPr>
        <w:pStyle w:val="[Normal]"/>
        <w:spacing w:line="360" w:lineRule="auto"/>
        <w:ind w:firstLine="1134"/>
        <w:jc w:val="both"/>
        <w:rPr>
          <w:lang w:val="es-AR" w:eastAsia="es-AR" w:bidi="es-AR"/>
        </w:rPr>
      </w:pPr>
      <w:r>
        <w:rPr>
          <w:lang w:val="es-AR" w:eastAsia="es-AR" w:bidi="es-AR"/>
        </w:rPr>
        <w:t xml:space="preserve">Para que se configure la interversión no basta el cambio interno de la voluntad, ni siquiera su exteriorización por simples actos unilaterales. Antes bien, es menester que el cambio se produzca mediando actos exteriores suficientes de contradicción del derecho del propietario. Se trata, pues, de una conducta unilateral porque la mutación de la categoría de la relación de poder se produce a partir de la actuación de quien de ese modo cambia su condición, pero también se logra ese resultado si media acuerdo entre este último y el anterior poseedor (conf. Herrera- Caramelo- Picasso, Código Civil y Comercial de la Nación Comentado, Tomo V, Infojus, Edición Actualizada 2022, comentario del art. 1915, página 47).-</w:t>
      </w:r>
    </w:p>
    <w:p>
      <w:pPr>
        <w:pStyle w:val="[Normal]"/>
        <w:spacing w:line="360" w:lineRule="auto"/>
        <w:ind w:firstLine="1134"/>
        <w:jc w:val="both"/>
        <w:rPr>
          <w:lang w:val="es-AR" w:eastAsia="es-AR" w:bidi="es-AR"/>
        </w:rPr>
      </w:pPr>
      <w:r>
        <w:rPr>
          <w:lang w:val="es-AR" w:eastAsia="es-AR" w:bidi="es-AR"/>
        </w:rPr>
        <w:t xml:space="preserve">Para que el tenedor se transforme en poseedor debe exteriorizar su intención a través de actos materiales, concluyentes e inequívocos, que tengan por objeto privar al poseedor de disponer de la cosa. Esos actos deben afirmar la posesión del que los realiza y negar la posesión del anterior poseedor.-</w:t>
      </w:r>
    </w:p>
    <w:p>
      <w:pPr>
        <w:pStyle w:val="[Normal]"/>
        <w:spacing w:line="360" w:lineRule="auto"/>
        <w:ind w:firstLine="1134"/>
        <w:jc w:val="both"/>
        <w:rPr>
          <w:lang w:val="es-AR" w:eastAsia="es-AR" w:bidi="es-AR"/>
        </w:rPr>
      </w:pPr>
      <w:r>
        <w:rPr>
          <w:lang w:val="es-AR" w:eastAsia="es-AR" w:bidi="es-AR"/>
        </w:rPr>
        <w:t xml:space="preserve">Este instituto debe interpretarse con criterio restrictivo porque no es posible avalar el abuso de la buena fe de quien da en préstamo gratuitamente un inmueble o parte de él.-</w:t>
      </w:r>
    </w:p>
    <w:p>
      <w:pPr>
        <w:pStyle w:val="[Normal]"/>
        <w:spacing w:line="360" w:lineRule="auto"/>
        <w:ind w:firstLine="1134"/>
        <w:jc w:val="both"/>
        <w:rPr>
          <w:lang w:val="es-AR" w:eastAsia="es-AR" w:bidi="es-AR"/>
        </w:rPr>
      </w:pPr>
      <w:r>
        <w:rPr>
          <w:lang w:val="es-AR" w:eastAsia="es-AR" w:bidi="es-AR"/>
        </w:rPr>
        <w:t xml:space="preserve">Por lo tanto, dado que es la propia actora quien reconoce en su escrito de demanda (30-12-2021) que ingresaron a la propiedad con el consentimiento de su dueña Felipa Petra Santos, queda por ver entonces si pudo demostrar que los actos posesorios por ella realizados fueron con la intención de privar y excluir a los legítimos dueños y de ejercer el dominio exclusivo del predio ya que la sola exteriorización de la voluntad en un expediente administrativo o penal, no alcanza para intervertir el titulo.-</w:t>
      </w:r>
    </w:p>
    <w:p>
      <w:pPr>
        <w:pStyle w:val="[Normal]"/>
        <w:spacing w:line="360" w:lineRule="auto"/>
        <w:ind w:firstLine="1134"/>
        <w:jc w:val="both"/>
        <w:rPr>
          <w:lang w:val="es-AR" w:eastAsia="es-AR" w:bidi="es-AR"/>
        </w:rPr>
      </w:pPr>
      <w:r>
        <w:rPr>
          <w:lang w:val="es-AR" w:eastAsia="es-AR" w:bidi="es-AR"/>
        </w:rPr>
        <w:t xml:space="preserve">No resulta ocioso mencionar que el art. 1928 del CCyC establece un conjunto de actos enumerados y que si bien dicha enumeración no es taxativa, hace referencia a que los actos posesorios deben ser de ocupación o de exclusión de terceros.-</w:t>
      </w:r>
    </w:p>
    <w:p>
      <w:pPr>
        <w:pStyle w:val="[Normal]"/>
        <w:spacing w:line="360" w:lineRule="auto"/>
        <w:ind w:firstLine="1134"/>
        <w:jc w:val="both"/>
        <w:rPr>
          <w:lang w:val="es-AR" w:eastAsia="es-AR" w:bidi="es-AR"/>
        </w:rPr>
      </w:pPr>
      <w:r>
        <w:rPr>
          <w:lang w:val="es-AR" w:eastAsia="es-AR" w:bidi="es-AR"/>
        </w:rPr>
        <w:t xml:space="preserve">Así, de las declaraciones testimoniales producidas por la parte actora, los señores Elisa Lasovich, Sergio Moretti y Miguel Angel Ogas (audiencia 26-4-2024) dan cuenta de que el terreno era usado por los Muriel como obrador, es decir, para dejar las máquinas que utilizaban para trabajar. Además de las mismas también surge que limpiaron, alambraron y colocaron portones de entrada y que en el lugar vivió José Gonzalez encargado de cuidar el predio.-</w:t>
      </w:r>
    </w:p>
    <w:p>
      <w:pPr>
        <w:pStyle w:val="[Normal]"/>
        <w:spacing w:line="360" w:lineRule="auto"/>
        <w:ind w:firstLine="1134"/>
        <w:jc w:val="both"/>
        <w:rPr>
          <w:lang w:val="es-AR" w:eastAsia="es-AR" w:bidi="es-AR"/>
        </w:rPr>
      </w:pPr>
      <w:r>
        <w:rPr>
          <w:lang w:val="es-AR" w:eastAsia="es-AR" w:bidi="es-AR"/>
        </w:rPr>
        <w:t xml:space="preserve">Debo recordar que las declaraciones testimoniales, evaluadas a la luz de la sana crítica, son sumamente importantes para resolver la cuestión, por cuanto los testigos dan cuenta del conocimiento personal de los actos posesorios que aluden realizados.-</w:t>
      </w:r>
    </w:p>
    <w:p>
      <w:pPr>
        <w:pStyle w:val="[Normal]"/>
        <w:spacing w:line="360" w:lineRule="auto"/>
        <w:ind w:firstLine="1134"/>
        <w:jc w:val="both"/>
        <w:rPr>
          <w:lang w:val="es-AR" w:eastAsia="es-AR" w:bidi="es-AR"/>
        </w:rPr>
      </w:pPr>
      <w:r>
        <w:rPr>
          <w:lang w:val="es-AR" w:eastAsia="es-AR" w:bidi="es-AR"/>
        </w:rPr>
        <w:t xml:space="preserve">Sin embargo, la prueba testimonial es insuficiente por sí sola para acoger la demanda de usucapión, por lo que es preciso confrontar o ratificar lo dichos de los testigos con otras pruebas que reflejen esos mismos hechos, es decir, que acrediten sus referencias. Y aun cuando ello no implica exigir una prueba corroborante de la testifical para cada uno de los actos posesorios invocados y durante cada momento del lapso prescriptivo, sí es necesario que exterioricen la existencia de la posesión o de algunos de sus elementos durante una buena parte del mismo, para que, tratando de reconstruir la verdad que se busca con esos rastros, pueda afirmarse la existencia de la posesión veinteñal (CC0203 LP 116305 RSD-25-18 S 06/03/2018 JUBA B355820).-</w:t>
      </w:r>
    </w:p>
    <w:p>
      <w:pPr>
        <w:pStyle w:val="[Normal]"/>
        <w:spacing w:line="360" w:lineRule="auto"/>
        <w:ind w:firstLine="1134"/>
        <w:jc w:val="both"/>
        <w:rPr>
          <w:lang w:val="es-AR" w:eastAsia="es-AR" w:bidi="es-AR"/>
        </w:rPr>
      </w:pPr>
      <w:r>
        <w:rPr>
          <w:lang w:val="es-AR" w:eastAsia="es-AR" w:bidi="es-AR"/>
        </w:rPr>
        <w:t xml:space="preserve">En efecto, no se han producido otros medios probatorios que puedan corroborar lo manifestado por los testigos ofrecidos, por lo que la prueba testimonial sin documentación adjunta (compra de materiales de construcción, pago de trabajos de albañilería, limpieza del terreno, entre otros) no alcanza para configurar la prueba de la posesión exigida.-</w:t>
      </w:r>
    </w:p>
    <w:p>
      <w:pPr>
        <w:pStyle w:val="[Normal]"/>
        <w:spacing w:line="360" w:lineRule="auto"/>
        <w:ind w:firstLine="1134"/>
        <w:jc w:val="both"/>
        <w:rPr>
          <w:lang w:val="es-AR" w:eastAsia="es-AR" w:bidi="es-AR"/>
        </w:rPr>
      </w:pPr>
      <w:r>
        <w:rPr>
          <w:lang w:val="es-AR" w:eastAsia="es-AR" w:bidi="es-AR"/>
        </w:rPr>
        <w:t xml:space="preserve">En punto al pago de impuestos, lucen glosados una factura de luz del año 2006, 2 tasas de limpieza y conservación del año 2014, plan de regularización de servicios sanitarios y tasa de limpieza, el estado de cuenta de la cooperativa eléctrica conjunto con informe de que el medidor de luz se encontró a nombre de la parte actora entre los años 2004 a 2013.-  </w:t>
      </w:r>
    </w:p>
    <w:p>
      <w:pPr>
        <w:pStyle w:val="[Normal]"/>
        <w:spacing w:line="360" w:lineRule="auto"/>
        <w:ind w:firstLine="1134"/>
        <w:jc w:val="both"/>
        <w:rPr>
          <w:lang w:val="es-AR" w:eastAsia="es-AR" w:bidi="es-AR"/>
        </w:rPr>
      </w:pPr>
      <w:r>
        <w:rPr>
          <w:lang w:val="es-AR" w:eastAsia="es-AR" w:bidi="es-AR"/>
        </w:rPr>
        <w:t xml:space="preserve">En materia de usucapión, el pago de impuestos no constituye un acto posesorio y por ende, nada prueba con relación al corpus posesorio. Los actos posesorios comportan un ejercicio efectivo del señorío sobre la cosa, y presuponen un contacto inmediato del sujeto con el objeto. Se ha señalado que se pueden pagar los impuestos y tasas sin tener el corpus posesorio (CC0102 MP 166580 82-S S 10/04/2019  JUBA B5060195).-</w:t>
      </w:r>
    </w:p>
    <w:p>
      <w:pPr>
        <w:pStyle w:val="[Normal]"/>
        <w:spacing w:line="360" w:lineRule="auto"/>
        <w:ind w:firstLine="1134"/>
        <w:jc w:val="both"/>
        <w:rPr>
          <w:i/>
          <w:lang w:val="es-AR" w:eastAsia="es-AR" w:bidi="es-AR"/>
        </w:rPr>
      </w:pPr>
      <w:r>
        <w:rPr>
          <w:lang w:val="es-AR" w:eastAsia="es-AR" w:bidi="es-AR"/>
        </w:rPr>
        <w:t xml:space="preserve">Por el contrario como se ha sostenido jurisprudencialmente </w:t>
      </w:r>
      <w:r>
        <w:rPr>
          <w:i/>
          <w:lang w:val="es-AR" w:eastAsia="es-AR" w:bidi="es-AR"/>
        </w:rPr>
        <w:t xml:space="preserve">"El pago de los impuestos constituye una exteriorización del "animus rem sibi habendi", no hace más que exteriorizar el "animus domini" y una forma de probarlo es, evidentemente, acreditar que el poseedor se comportó como lo hace habitualmente un propietario, o sea, pagando, más o menos regularmente los gravámenes que afectan al inmueble. El pago de las obligaciones fiscales sirve así para comprobar el ánimo de dueño que tiene el ocupante y no el transcurso del término legal de prescripción, resultando en consecuencia admisible que no tenga una antigüedad que se remonte a todo el lapso de la usucapión, bastando que se ubique en algún momento bastante anterior a la demanda.</w:t>
      </w:r>
      <w:r>
        <w:rPr>
          <w:lang w:val="es-AR" w:eastAsia="es-AR" w:bidi="es-AR"/>
        </w:rPr>
        <w:t xml:space="preserve"> </w:t>
      </w:r>
      <w:r>
        <w:rPr>
          <w:i/>
          <w:lang w:val="es-AR" w:eastAsia="es-AR" w:bidi="es-AR"/>
        </w:rPr>
        <w:t xml:space="preserve">(CC0002 SM 57067 RSD-83-6 S 18/04/2006 JUBA 2004134).-</w:t>
      </w:r>
    </w:p>
    <w:p>
      <w:pPr>
        <w:pStyle w:val="[Normal]"/>
        <w:spacing w:line="360" w:lineRule="auto"/>
        <w:ind w:firstLine="1134"/>
        <w:jc w:val="both"/>
        <w:rPr>
          <w:lang w:val="es-AR" w:eastAsia="es-AR" w:bidi="es-AR"/>
        </w:rPr>
      </w:pPr>
      <w:r>
        <w:rPr>
          <w:lang w:val="es-AR" w:eastAsia="es-AR" w:bidi="es-AR"/>
        </w:rPr>
        <w:t xml:space="preserve">Del análisis integral de la prueba producida en autos no surge acreditado acto posesorio alguno por parte de los actores que revele la intención de ejercer un poder de hecho con exclusión de los verdaderos titulares del dominio. La vinculación de los actores con el inmueble se mantuvo dentro de los márgenes propios de una tenencia, sin haberse demostrado interversión del título conforme los requisitos legales. La prueba testimonial carece de suficiente respaldo documental y los pocos elementos incorporados (facturas, tasas, servicios) no alcanzan para acreditar la posesión continua, pública y pacífica por el plazo legal (Arts. 1899, 1915, 1928 y ss del CCyC; Arts. 375,384 y ccts CPCC).-</w:t>
      </w:r>
    </w:p>
    <w:p>
      <w:pPr>
        <w:pStyle w:val="[Normal]"/>
        <w:spacing w:line="360" w:lineRule="auto"/>
        <w:ind w:firstLine="1134"/>
        <w:jc w:val="both"/>
        <w:rPr>
          <w:lang w:val="es-AR" w:eastAsia="es-AR" w:bidi="es-AR"/>
        </w:rPr>
      </w:pPr>
      <w:r>
        <w:rPr>
          <w:lang w:val="es-AR" w:eastAsia="es-AR" w:bidi="es-AR"/>
        </w:rPr>
        <w:t xml:space="preserve">Por último, respecto a la petición como medida para mejor proveer de que se incorporen dos causas penales, debo remarcar que tales</w:t>
      </w:r>
      <w:r>
        <w:rPr>
          <w:color w:val="000000"/>
          <w:lang w:val="es-AR" w:eastAsia="es-AR" w:bidi="es-AR"/>
        </w:rPr>
        <w:t xml:space="preserve"> medidas son facultades atribuidas por la ley al Tribunal sin configurar una obligación legal a cargo del juzgador (confr. SCBA, B 67404  del 26-4-2006), constituyen así una prerrogativa de los jueces, no pudiendo, por tanto, ser solicitadas ni sugeridas por las partes. (Cám. C y C sala 1 QL, causa 13527 RSI 156/11).-</w:t>
      </w:r>
    </w:p>
    <w:p>
      <w:pPr>
        <w:pStyle w:val="[Normal]"/>
        <w:spacing w:line="360" w:lineRule="auto"/>
        <w:ind w:firstLine="1134"/>
        <w:jc w:val="both"/>
        <w:rPr>
          <w:lang w:val="es-AR" w:eastAsia="es-AR" w:bidi="es-AR"/>
        </w:rPr>
      </w:pPr>
      <w:r>
        <w:rPr>
          <w:lang w:val="es-AR" w:eastAsia="es-AR" w:bidi="es-AR"/>
        </w:rPr>
        <w:t xml:space="preserve">Por todo lo expuesto, propongo al Acuerdo revocar la sentencia de primera instancia en todas sus partes y el consecuente rechazo de la demanda de prescripción adquisitiva incoada por la parte actora, imponiéndole las costas de ambas instancias por resultar vencida (Art 68/9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 los recursos de apelación deducidos por los codemandados, y en su mérito revocar la sentencia de primera instancia en todas sus partes. En consecuencia, rechazar la demanda de prescripción adquisitiva veinteañal entablada por la parte actora.-</w:t>
      </w:r>
    </w:p>
    <w:p>
      <w:pPr>
        <w:pStyle w:val="[Normal]"/>
        <w:spacing w:line="360" w:lineRule="auto"/>
        <w:ind w:firstLine="1134"/>
        <w:jc w:val="both"/>
        <w:rPr>
          <w:lang w:val="es-AR" w:eastAsia="es-AR" w:bidi="es-AR"/>
        </w:rPr>
      </w:pPr>
      <w:r>
        <w:rPr>
          <w:lang w:val="es-AR" w:eastAsia="es-AR" w:bidi="es-AR"/>
        </w:rPr>
        <w:t xml:space="preserve">Costas de ambas instancias a la actora por resultar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ASÍ LO VOTO.-</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a los recursos de apelación deducidos por los codemandados, y en su mérito revocar la sentencia de primera instancia en todas sus partes. En consecuencia, rechazar la demanda de prescripción adquisitiva veinteañal entablada por la parte actora.-</w:t>
      </w:r>
    </w:p>
    <w:p>
      <w:pPr>
        <w:pStyle w:val="[Normal]"/>
        <w:spacing w:line="360" w:lineRule="auto"/>
        <w:ind w:firstLine="1134"/>
        <w:jc w:val="both"/>
        <w:rPr>
          <w:lang w:val="es-AR" w:eastAsia="es-AR" w:bidi="es-AR"/>
        </w:rPr>
      </w:pPr>
      <w:r>
        <w:rPr>
          <w:lang w:val="es-AR" w:eastAsia="es-AR" w:bidi="es-AR"/>
        </w:rPr>
        <w:t xml:space="preserve">Costas de ambas instancias a la actora por resultar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20258327013@NOTIFICACIONES.SCBA.GOV.AR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20215345956@NOTIFICACIONES.SCBA.GOV.AR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27313643196@NOTIFICACIONES.SCBA.GOV.AR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27139442240@NOTIFICACIONES.SCBA.GOV.AR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21/08/2025 10:40:17 -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21/08/2025 10:43:10 -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21/08/2025 11:12:30 -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‰8L")è&amp;^3YWŠ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244402090006621957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21/08/2025 11:13:06 hs. bajo el número RS-108-2025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200" w:line="276"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