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5659-25</w:t>
      </w:r>
      <w:r>
        <w:rPr>
          <w:lang w:val="es-AR" w:eastAsia="es-AR" w:bidi="es-AR"/>
        </w:rPr>
        <w:t xml:space="preserve"> caratulada </w:t>
      </w:r>
      <w:r>
        <w:rPr>
          <w:b/>
          <w:lang w:val="es-AR" w:eastAsia="es-AR" w:bidi="es-AR"/>
        </w:rPr>
        <w:t xml:space="preserve">"</w:t>
      </w:r>
      <w:r>
        <w:rPr>
          <w:b/>
          <w:color w:val="000000"/>
          <w:lang w:val="es-AR" w:eastAsia="es-AR" w:bidi="es-AR"/>
        </w:rPr>
        <w:t xml:space="preserve">ROJAS NATALIA BELEN C/ DUHAU MARIA SOLEDAD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79.068</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incoada por Daños y Perjuicios contra la Sra. Maria Soledad Duhau, el Sr. Pablo Andrés Nicolari y contra la citada en garantía La Segunda Cooperativa Limitada de Seguros Generales.  Aplicó las costas a la parte actora que resulta vencida (art. 68 C.P.C.).  Difirió la regulación de honorarios de los letrados intervinientes y de los peritos,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11-4-2025 por la parte actora</w:t>
      </w:r>
      <w:r>
        <w:rPr>
          <w:b/>
          <w:lang w:val="es-AR" w:eastAsia="es-AR" w:bidi="es-AR"/>
        </w:rPr>
        <w:t xml:space="preserve">,</w:t>
      </w:r>
      <w:r>
        <w:rPr>
          <w:lang w:val="es-AR" w:eastAsia="es-AR" w:bidi="es-AR"/>
        </w:rPr>
        <w:t xml:space="preserve"> concedido libremente y en efecto suspensivo (16-4-2025).  Elevados los autos a esta Alzada con fecha 13-5-2025 se ordeno expresar agravios a la accionante</w:t>
      </w:r>
      <w:r>
        <w:rPr>
          <w:b/>
          <w:lang w:val="es-AR" w:eastAsia="es-AR" w:bidi="es-AR"/>
        </w:rPr>
        <w:t xml:space="preserve">,</w:t>
      </w:r>
      <w:r>
        <w:rPr>
          <w:lang w:val="es-AR" w:eastAsia="es-AR" w:bidi="es-AR"/>
        </w:rPr>
        <w:t xml:space="preserve"> quien los fundó el 16-5-2025 y del mismo traslado a la parte  demandada y a la citada en garantía (20-5-2025). El 30-5-2025 la citada en garantía evacuó dicho traslado.  3-6-2025 no habiendo la parte demandada evacuado el traslado conferido, se les dió por perdido el derecho dejado de usar y se llamo autos para dictar sentencia, providencia, que firme a la fecha deja al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esboza los siguientes puntos de agravio: 	</w:t>
        <w:br w:type="textWrapping"/>
      </w:r>
      <w:r>
        <w:rPr>
          <w:lang w:val="es-AR" w:eastAsia="es-AR" w:bidi="es-AR"/>
        </w:rPr>
        <w:t xml:space="preserve"> 	1) Errónea valoración de la conducta de su parte</w:t>
      </w:r>
      <w:r>
        <w:rPr>
          <w:b/>
          <w:lang w:val="es-AR" w:eastAsia="es-AR" w:bidi="es-AR"/>
        </w:rPr>
        <w:t xml:space="preserve"> </w:t>
      </w:r>
      <w:r>
        <w:rPr>
          <w:lang w:val="es-AR" w:eastAsia="es-AR" w:bidi="es-AR"/>
        </w:rPr>
        <w:t xml:space="preserve">y atribución de responsabilidad. Puntualmente, la accionante cuestiona la afirmación del a quo en cuanto considera probada una conducción negligente de su parte (falta de distancia prudencial, pérdida de control y colisión desde atrás), sin respaldo probatorio concreto. Sostiene que no se acreditó que su parte haya infringido norma alguna, ni que circulara a velocidad imprudente. En cambio, se señala que el demandado giró de forma intempestiva desde el carril derecho hacia la izquierda, infringiendo el deber de señalización y de ubicación previa del art. 43 incs. a y b de la Ley 24.449. </w:t>
      </w:r>
    </w:p>
    <w:p>
      <w:pPr>
        <w:pStyle w:val="[Normal]"/>
        <w:spacing w:line="360" w:lineRule="auto"/>
        <w:ind w:firstLine="1134"/>
        <w:jc w:val="both"/>
        <w:rPr>
          <w:lang w:val="es-AR" w:eastAsia="es-AR" w:bidi="es-AR"/>
        </w:rPr>
      </w:pPr>
      <w:r>
        <w:rPr>
          <w:lang w:val="es-AR" w:eastAsia="es-AR" w:bidi="es-AR"/>
        </w:rPr>
        <w:t xml:space="preserve">2) Inadecuada interpretación del marco normativo aplicable (Ley 24.449). Cuestiona que el juez descartara la aplicación del art. 44 inc. f de la Ley de Tránsito por no tratarse de una vía semaforizada, sin tener en cuenta que ello no exime al conductor de cumplir con los recaudos exigidos por el art. 43 (señalización y desplazamiento previo al carril de giro). En concreto, el agravio enfatiza en que el demandado giró sorpresivamente desde el carril derecho, sin señal alguna, infringiendo sus deberes de precaución.</w:t>
      </w:r>
    </w:p>
    <w:p>
      <w:pPr>
        <w:pStyle w:val="[Normal]"/>
        <w:spacing w:line="360" w:lineRule="auto"/>
        <w:ind w:firstLine="1134"/>
        <w:jc w:val="both"/>
        <w:rPr>
          <w:lang w:val="es-AR" w:eastAsia="es-AR" w:bidi="es-AR"/>
        </w:rPr>
      </w:pPr>
      <w:r>
        <w:rPr>
          <w:lang w:val="es-AR" w:eastAsia="es-AR" w:bidi="es-AR"/>
        </w:rPr>
        <w:t xml:space="preserve">3) Ausencia de acreditación de culpa de su parte y subsistencia del nexo causal. Al respecto, sostiene que no se ha acreditado conducta alguna de la</w:t>
      </w:r>
      <w:r>
        <w:rPr>
          <w:b/>
          <w:lang w:val="es-AR" w:eastAsia="es-AR" w:bidi="es-AR"/>
        </w:rPr>
        <w:t xml:space="preserve"> </w:t>
      </w:r>
      <w:r>
        <w:rPr>
          <w:lang w:val="es-AR" w:eastAsia="es-AR" w:bidi="es-AR"/>
        </w:rPr>
        <w:t xml:space="preserve">actora</w:t>
      </w:r>
      <w:r>
        <w:rPr>
          <w:b/>
          <w:lang w:val="es-AR" w:eastAsia="es-AR" w:bidi="es-AR"/>
        </w:rPr>
        <w:t xml:space="preserve"> </w:t>
      </w:r>
      <w:r>
        <w:rPr>
          <w:lang w:val="es-AR" w:eastAsia="es-AR" w:bidi="es-AR"/>
        </w:rPr>
        <w:t xml:space="preserve">que justifique la interrupción del nexo causal. La prueba rendida acredita que circulaba con casco, licencia habilitante y velocidad prudente. </w:t>
      </w:r>
    </w:p>
    <w:p>
      <w:pPr>
        <w:pStyle w:val="[Normal]"/>
        <w:spacing w:line="360" w:lineRule="auto"/>
        <w:ind w:firstLine="1134"/>
        <w:jc w:val="both"/>
        <w:rPr>
          <w:lang w:val="es-AR" w:eastAsia="es-AR" w:bidi="es-AR"/>
        </w:rPr>
      </w:pPr>
      <w:r>
        <w:rPr>
          <w:lang w:val="es-AR" w:eastAsia="es-AR" w:bidi="es-AR"/>
        </w:rPr>
        <w:t xml:space="preserve">4) Cita de jurisprudencia inaplicable al caso. Objeta la aplicación por parte del a quo del fallo de la Cámara Civil y Comercial de San Nicolás, en tanto trata de un supuesto fáctico diferente (motociclista que gira y obstruye a vehículos que circulan en sentido contrario). Aduce que en el caso de autos, ambos vehículos circulaban en el mismo sentido y fue el demandado quien realizó la maniobra intempestiva, sin cumplir con los deberes legales. Se invoca jurisprudencia actual que responsabiliza al conductor que gira sin señalizar ni ubicarse correctamente.</w:t>
      </w:r>
    </w:p>
    <w:p>
      <w:pPr>
        <w:pStyle w:val="[Normal]"/>
        <w:spacing w:line="360" w:lineRule="auto"/>
        <w:ind w:firstLine="1134"/>
        <w:jc w:val="both"/>
        <w:rPr>
          <w:lang w:val="es-AR" w:eastAsia="es-AR" w:bidi="es-AR"/>
        </w:rPr>
      </w:pPr>
      <w:r>
        <w:rPr>
          <w:lang w:val="es-AR" w:eastAsia="es-AR" w:bidi="es-AR"/>
        </w:rPr>
        <w:t xml:space="preserve">Entrando a resolver, se advierte que el eje central del planteo revisor gira en torno a la juridicidad de la absolución de la parte demandada que fuera dispuesta en la instancia de grado.</w:t>
      </w:r>
    </w:p>
    <w:p>
      <w:pPr>
        <w:pStyle w:val="[Normal]"/>
        <w:spacing w:line="360" w:lineRule="auto"/>
        <w:ind w:firstLine="1134"/>
        <w:jc w:val="both"/>
        <w:rPr>
          <w:lang w:val="es-AR" w:eastAsia="es-AR" w:bidi="es-AR"/>
        </w:rPr>
      </w:pPr>
      <w:r>
        <w:rPr>
          <w:lang w:val="es-AR" w:eastAsia="es-AR" w:bidi="es-AR"/>
        </w:rPr>
        <w:t xml:space="preserve">I.- Ya impuesto en la tarea revisora de referencia, debo decir que la primera queja formulada por la parte apelante en torno a la atribución causal que le fuera endilgada por el sentenciante no logra conmover los fundamentos de la resolución apelada. A pesar de los extensos desarrollos críticos vertidos en el memorial, lo cierto es que del análisis conjunto de la prueba producida, y en particular de los informes periciales accidentológicos realizados por el Ing. Javier Ferretti en fecha 25/9/24 y 7/11/24 incorporados al presente proceso proceso, de la pericia mecánica realizada por el mecánico Lucas Javier Sosa que fuera agregada a fs. 28 y del acta de levantamiento de evidencia física que luce a fs. 45/46 que fuera confeccionada por los Subteniente Carlos Alberto Viagran y la Oficial Ayudante Vanesa Soledad Maiorano, se desprende una reconstrucción objetiva de la mecánica del hecho que justifica la solución adoptada en la instancia de origen.</w:t>
      </w:r>
    </w:p>
    <w:p>
      <w:pPr>
        <w:pStyle w:val="[Normal]"/>
        <w:spacing w:line="360" w:lineRule="auto"/>
        <w:ind w:firstLine="1134"/>
        <w:jc w:val="both"/>
        <w:rPr>
          <w:lang w:val="es-AR" w:eastAsia="es-AR" w:bidi="es-AR"/>
        </w:rPr>
      </w:pPr>
      <w:r>
        <w:rPr>
          <w:lang w:val="es-AR" w:eastAsia="es-AR" w:bidi="es-AR"/>
        </w:rPr>
        <w:t xml:space="preserve">En efecto, de la valoración global de las nombradas constancias surge que ambos vehículos circulaban por el Boulevard Drago en dirección este-oeste, y que el automóvil conducido por el Sr. Nicolari lo hacía por delante y a la derecha de la motocicleta que guiaba la Sra. Rojas. El impacto tuvo lugar entre el lateral trasero izquierdo del automóvil (específicamente puerta y zócalo) y la parte delantera de la motocicleta, lo que configura una colisión angular por alcance posterior. Tal como señalaron de manera coincidente los peritos intervinientes, la motocicleta reviste el carácter de embistente físico-mecánico, y el automóvil el de embestido.</w:t>
      </w:r>
    </w:p>
    <w:p>
      <w:pPr>
        <w:pStyle w:val="[Normal]"/>
        <w:spacing w:line="360" w:lineRule="auto"/>
        <w:ind w:firstLine="1134"/>
        <w:jc w:val="both"/>
        <w:rPr>
          <w:lang w:val="es-AR" w:eastAsia="es-AR" w:bidi="es-AR"/>
        </w:rPr>
      </w:pPr>
      <w:r>
        <w:rPr>
          <w:lang w:val="es-AR" w:eastAsia="es-AR" w:bidi="es-AR"/>
        </w:rPr>
        <w:t xml:space="preserve">La dinámica descripta permite inferir, con el grado de certeza requerido en esta etapa del proceso, que la actora no mantuvo una distancia razonable respecto del vehículo que la antecedía, ni logró conservar el dominio efectivo del rodado frente a una maniobra que, si bien requería ciertos recaudos, no se encontraba prohibida por la normativa vigente. Tal inferencia se apoya objetivamente en los informes periciales que determinaron que el automóvil Citroën circulaba por delante de la motocicleta, que fue esta última la que colisionó con la parte trasera izquierda del primero, y que el impacto se produjo de manera angular, desde atrás y hacia el lateral del vehículo embestido. A ello se suma que no se han constatado huellas de frenado ni maniobras defensivas que indiquen una reacción de la motociclista frente al giro. Debe recordarse que la intersección en la que se produjo el siniestro no se hallaba regulada por semáforos, razón por la cual el giro a la izquierda efectuado por el demandado no se encontraba vedado por el art. 44 inc. f de la Ley 24.449. Por el contrario, era exigible que quien circulaba por detrás se anticipara a dicha eventualidad adoptando una distancia precautoria suficiente para maniobrar con seguridad.</w:t>
      </w:r>
    </w:p>
    <w:p>
      <w:pPr>
        <w:pStyle w:val="[Normal]"/>
        <w:spacing w:line="360" w:lineRule="auto"/>
        <w:ind w:firstLine="1134"/>
        <w:jc w:val="both"/>
        <w:rPr>
          <w:lang w:val="es-AR" w:eastAsia="es-AR" w:bidi="es-AR"/>
        </w:rPr>
      </w:pPr>
      <w:r>
        <w:rPr>
          <w:lang w:val="es-AR" w:eastAsia="es-AR" w:bidi="es-AR"/>
        </w:rPr>
        <w:t xml:space="preserve">En este sentido, el art. 48 inc. g de la Ley de Tránsito impone a los conductores la obligación de no desplazarse a una distancia menor que la prudente respecto del vehículo que los precede, previsión normativa que tiene por objeto, precisamente, evitar situaciones como la aquí debatida. No se encuentra en el expediente ningún indicio técnico que permita afirmar que el automóvil hubiera realizado un giro imprevisto, violento o antirreglamentario. Tampoco hay prueba de que la motociclista hubiese intentado realizar una maniobra evasiva ni que haya advertido el giro del otro vehículo con suficiente antelación como para neutralizar el impacto.</w:t>
      </w:r>
    </w:p>
    <w:p>
      <w:pPr>
        <w:pStyle w:val="[Normal]"/>
        <w:spacing w:line="360" w:lineRule="auto"/>
        <w:ind w:firstLine="1134"/>
        <w:jc w:val="both"/>
        <w:rPr>
          <w:lang w:val="es-AR" w:eastAsia="es-AR" w:bidi="es-AR"/>
        </w:rPr>
      </w:pPr>
      <w:r>
        <w:rPr>
          <w:lang w:val="es-AR" w:eastAsia="es-AR" w:bidi="es-AR"/>
        </w:rPr>
        <w:t xml:space="preserve">En esta tónica, la Sala II de la Cámara Primera de Apelaciones en lo Civil y Comercial de La Plata ha dicho que: </w:t>
      </w:r>
      <w:r>
        <w:rPr>
          <w:i/>
          <w:lang w:val="es-AR" w:eastAsia="es-AR" w:bidi="es-AR"/>
        </w:rPr>
        <w:t xml:space="preserve">"Tratándose de la colisión producida entre dos automotores que circulaban en idéntico sentido, embistiendo el rodado de atrás la parte trasera del vehículo que lo precede, en una arteria en la que existen señales lumínicas, al arribar a la zona que éstas imponen detener la marcha en caso de no encontrarse habilitado el paso, cabe presumir la embistente. La presunción de culpa de quien embiste por detrás solo puede ceder ante la prueba de la culpa de quien avanza por delante y pone un imprevisible e inevitable obstáculo en la línea de marcha de quienes se desplazan sobre la misma vía de circulación. Ello es así por cuanto un choque de estas características demuestra la distracción del conductor o que no guardó la distancia reglamentaria con quien circulaba delante de él. La detención de un automotor que antecede en la marcha a otro por una calle o avenida es una contingencia del tránsito previsible y más aún si se está arribando a una zone en la que existe cruce de arterias o señales lumínicas para habilitar el paso. Cabe presumir la culpa del embistente en un accidente de tránsito, aún cuando el embestido se haya detenido en forma repentina, si esta maniobra no reviste características de imprevisible e irresistible, pues se infiere que quien guía un vehículo debe hacerlo de modo tal de controlar su marcha para poder evitar desenlaces dañosos. La prueba colectada en autos no resulta suficiente para demostrar que hubiera sido el obrar del conductor del auto correspondiente al actor el que deba considerarse causa del accidente"</w:t>
      </w:r>
      <w:r>
        <w:rPr>
          <w:lang w:val="es-AR" w:eastAsia="es-AR" w:bidi="es-AR"/>
        </w:rPr>
        <w:t xml:space="preserve"> (Cámara Primera de Apelaciones en lo Civil y Comercial de La Plata, Sala II, </w:t>
      </w:r>
      <w:r>
        <w:rPr>
          <w:i/>
          <w:lang w:val="es-AR" w:eastAsia="es-AR" w:bidi="es-AR"/>
        </w:rPr>
        <w:t xml:space="preserve">"Barboni, Sergio Fabián c/Antonioli, Héctor s/Daños y perjuicios", </w:t>
      </w:r>
      <w:r>
        <w:rPr>
          <w:lang w:val="es-AR" w:eastAsia="es-AR" w:bidi="es-AR"/>
        </w:rPr>
        <w:t xml:space="preserve">06/04/2006).</w:t>
      </w:r>
    </w:p>
    <w:p>
      <w:pPr>
        <w:pStyle w:val="[Normal]"/>
        <w:spacing w:line="360" w:lineRule="auto"/>
        <w:ind w:firstLine="1134"/>
        <w:jc w:val="both"/>
        <w:rPr>
          <w:lang w:val="es-AR" w:eastAsia="es-AR" w:bidi="es-AR"/>
        </w:rPr>
      </w:pPr>
      <w:r>
        <w:rPr>
          <w:lang w:val="es-AR" w:eastAsia="es-AR" w:bidi="es-AR"/>
        </w:rPr>
        <w:t xml:space="preserve">A los fines de robustecer la decisión adoptada, resulta pertinente agregar que en el caso concreto no cabe postular una concausalidad entre el hecho del demandado y el hecho de la víctima, toda vez que la conducta de esta última interrumpe de manera suficiente y autónoma el nexo causal que liga el riesgo creado con el daño efectivamente producido.</w:t>
      </w:r>
    </w:p>
    <w:p>
      <w:pPr>
        <w:pStyle w:val="[Normal]"/>
        <w:spacing w:line="360" w:lineRule="auto"/>
        <w:ind w:firstLine="1134"/>
        <w:jc w:val="both"/>
        <w:rPr>
          <w:lang w:val="es-AR" w:eastAsia="es-AR" w:bidi="es-AR"/>
        </w:rPr>
      </w:pPr>
      <w:r>
        <w:rPr>
          <w:lang w:val="es-AR" w:eastAsia="es-AR" w:bidi="es-AR"/>
        </w:rPr>
        <w:t xml:space="preserve">En efecto, conforme la doctrina legal de la Suprema Corte de Justicia de la Provincia de Buenos Aires, la concausalidad exige la coexistencia de dos o más factores idóneos para provocar el daño, en una convergencia tal que no sea posible excluir, en términos de eficacia causal, a ninguno de ellos. Ello no ocurre cuando uno de los factores -como en el presente- ostenta una intensidad causal excluyente, ya sea por su autonomía o por su carácter determinante.</w:t>
      </w:r>
    </w:p>
    <w:p>
      <w:pPr>
        <w:pStyle w:val="[Normal]"/>
        <w:spacing w:line="360" w:lineRule="auto"/>
        <w:ind w:firstLine="1134"/>
        <w:jc w:val="both"/>
        <w:rPr>
          <w:lang w:val="es-AR" w:eastAsia="es-AR" w:bidi="es-AR"/>
        </w:rPr>
      </w:pPr>
      <w:r>
        <w:rPr>
          <w:lang w:val="es-AR" w:eastAsia="es-AR" w:bidi="es-AR"/>
        </w:rPr>
        <w:t xml:space="preserve">Al respecto, la Casación provincial ha asumido un temperamento estricto a la hora de ponderar la concausalidad como supuesto apto para justificar un desplazamiento parcial de la atribución jurídica del daño. Así, por ejemplo, se ha dicho que: </w:t>
      </w:r>
      <w:r>
        <w:rPr>
          <w:i/>
          <w:lang w:val="es-AR" w:eastAsia="es-AR" w:bidi="es-AR"/>
        </w:rPr>
        <w:t xml:space="preserve">"Si la falta de utilización de casco no ha sido factor determinante del accidente ni guarda relación inmediata con el hecho en si mismo; aunque puede constituir una concausa de los daños generados no tiene incidencia en el juzgamiento de la responsabilidad"</w:t>
      </w:r>
      <w:r>
        <w:rPr>
          <w:lang w:val="es-AR" w:eastAsia="es-AR" w:bidi="es-AR"/>
        </w:rPr>
        <w:t xml:space="preserve"> (SCBA, </w:t>
      </w:r>
      <w:r>
        <w:rPr>
          <w:i/>
          <w:lang w:val="es-AR" w:eastAsia="es-AR" w:bidi="es-AR"/>
        </w:rPr>
        <w:t xml:space="preserve">"Jadech, Rubén c/Laius, Matías y otro s/Daños y perjuicios"</w:t>
      </w:r>
      <w:r>
        <w:rPr>
          <w:lang w:val="es-AR" w:eastAsia="es-AR" w:bidi="es-AR"/>
        </w:rPr>
        <w:t xml:space="preserve">, 2/7/2010).</w:t>
      </w:r>
    </w:p>
    <w:p>
      <w:pPr>
        <w:pStyle w:val="[Normal]"/>
        <w:spacing w:line="360" w:lineRule="auto"/>
        <w:ind w:firstLine="1134"/>
        <w:jc w:val="both"/>
        <w:rPr>
          <w:lang w:val="es-AR" w:eastAsia="es-AR" w:bidi="es-AR"/>
        </w:rPr>
      </w:pPr>
      <w:r>
        <w:rPr>
          <w:lang w:val="es-AR" w:eastAsia="es-AR" w:bidi="es-AR"/>
        </w:rPr>
        <w:t xml:space="preserve">Aquí, el comportamiento de la actora, al no mantener una distancia de seguridad respecto del vehículo que la precedía, al no anticiparse a una maniobra previsible en el contexto urbano en el que circulaban, y al no ejecutar ninguna acción evasiva que indique una reacción frente al riesgo, se erige como causa adecuada del resultado dañoso. Esa conducta no sólo infringe normas legales expresas (art. 48 inc. g Ley 24.449), sino que lo hace en un contexto donde no existía prohibición para girar a la izquierda, ni indicios objetivos que acrediten una maniobra brusca, intempestiva o antirreglamentaria por parte del demandado.</w:t>
      </w:r>
    </w:p>
    <w:p>
      <w:pPr>
        <w:pStyle w:val="[Normal]"/>
        <w:spacing w:line="360" w:lineRule="auto"/>
        <w:ind w:firstLine="1134"/>
        <w:jc w:val="both"/>
        <w:rPr>
          <w:lang w:val="es-AR" w:eastAsia="es-AR" w:bidi="es-AR"/>
        </w:rPr>
      </w:pPr>
      <w:r>
        <w:rPr>
          <w:lang w:val="es-AR" w:eastAsia="es-AR" w:bidi="es-AR"/>
        </w:rPr>
        <w:t xml:space="preserve">En otras palabras, la posibilidad de que el vehículo que circulaba por delante girase hacia la izquierda en una intersección no semaforizada no constituía un evento extraordinario o imprevisible, sino una contingencia típica del tránsito urbano que la motociclista debía contemplar y prevenir mediante una conducción diligente. Su omisión a ese deber de previsión transforma su accionar en un hecho plenamente eficiente para producir el daño, excluyendo así, total o sustancialmente, la responsabilidad del demandado.</w:t>
      </w:r>
    </w:p>
    <w:p>
      <w:pPr>
        <w:pStyle w:val="[Normal]"/>
        <w:spacing w:line="360" w:lineRule="auto"/>
        <w:ind w:firstLine="1134"/>
        <w:jc w:val="both"/>
        <w:rPr>
          <w:lang w:val="es-AR" w:eastAsia="es-AR" w:bidi="es-AR"/>
        </w:rPr>
      </w:pPr>
      <w:r>
        <w:rPr>
          <w:lang w:val="es-AR" w:eastAsia="es-AR" w:bidi="es-AR"/>
        </w:rPr>
        <w:t xml:space="preserve">Desde un enfoque dogmático, cabe observar que la culpa de la víctima como eximente de responsabilidad se configura cuando concurren los elementos previstos por el Código Civil y Comercial de la Nación, en particular los arts. 1729 y 1749. 1) En primer término, se requiere una conducta voluntaria del damnificado, lo cual se verifica en el caso, dado que la motociclista conservaba el control físico y direccional del vehículo al momento del hecho, sin alegarse circunstancias que afectaran su libertad de acción. 2) En segundo lugar, es exigible una conducta antijurídica u objetivamente reprochable. Esta se manifiesta en la omisión del deber de mantener una distancia prudente respecto del vehículo que la precedía, conforme a lo normado en el art. 48 inc. g de la Ley 24.449, conducta que se acredita mediante la pericia accidentológica y las huellas de frenado que ubican el impacto en la parte lateral posterior del automóvil. 3) En tercer término, debe haber una relación causal adecuada entre esa conducta y el daño. Este requisito también se satisface: la maniobra defectuosa de la motociclista aparece como causa directa e inmediata del accidente, sin intervención concomitante o disruptiva del conductor del automóvil que pueda desplazar esa causalidad (arts. 1726 y 1727 CCyC). Por consiguiente, los tres elementos necesarios para atribuir eficacia eximente al hecho de la víctima concurren en el caso, lo que impide imputar el daño al riesgo creado por el demandado y justifica la solución desestimatoria adoptada por el juez de grado.</w:t>
      </w:r>
    </w:p>
    <w:p>
      <w:pPr>
        <w:pStyle w:val="[Normal]"/>
        <w:spacing w:line="360" w:lineRule="auto"/>
        <w:ind w:firstLine="1134"/>
        <w:jc w:val="both"/>
        <w:rPr>
          <w:lang w:val="es-AR" w:eastAsia="es-AR" w:bidi="es-AR"/>
        </w:rPr>
      </w:pPr>
      <w:r>
        <w:rPr>
          <w:lang w:val="es-AR" w:eastAsia="es-AR" w:bidi="es-AR"/>
        </w:rPr>
        <w:t xml:space="preserve">Desde la óptica del análisis económico del derecho, la solución adoptada en este caso se revela eficiente en términos de incentivos y asignación de responsabilidades. Asignar la carga del daño a quien incurre en una conducta riesgosa y evitable -como lo fue en este caso la de la actora al circular sin respetar una distancia razonable respecto del vehículo que la precedía- cumple una función disuasiva que previene futuros accidentes. Esto responde a la noción de que las reglas jurídicas deben diseñarse de manera tal que minimicen los costos sociales del accidente, alentando a las partes a adoptar conductas preventivas en función del costo esperado de su omisión.</w:t>
      </w:r>
    </w:p>
    <w:p>
      <w:pPr>
        <w:pStyle w:val="[Normal]"/>
        <w:spacing w:line="360" w:lineRule="auto"/>
        <w:ind w:firstLine="1134"/>
        <w:jc w:val="both"/>
        <w:rPr>
          <w:lang w:val="es-AR" w:eastAsia="es-AR" w:bidi="es-AR"/>
        </w:rPr>
      </w:pPr>
      <w:r>
        <w:rPr>
          <w:lang w:val="es-AR" w:eastAsia="es-AR" w:bidi="es-AR"/>
        </w:rPr>
        <w:t xml:space="preserve">Si, por el contrario, se impusiera responsabilidad al conductor que ya había iniciado su maniobra de giro -sin haberse demostrado que lo hubiera hecho de forma antirreglamentaria o inesperada- se trasladaría el costo del siniestro a quien no tuvo capacidad real de evitarlo, debilitando el incentivo para que los restantes actores del tránsito mantengan una actitud vigilante y prudente. En el caso concreto, reconocer plena incidencia causal al obrar de la actora preserva la coherencia del sistema de responsabilidad con los principios de eficiencia, internalización de costos y asignación funcional del riesgo, que constituyen pilares del análisis económico del derecho aplicado a la circulación vehicular.</w:t>
      </w:r>
    </w:p>
    <w:p>
      <w:pPr>
        <w:pStyle w:val="[Normal]"/>
        <w:spacing w:line="360" w:lineRule="auto"/>
        <w:ind w:firstLine="1134"/>
        <w:jc w:val="both"/>
        <w:rPr>
          <w:lang w:val="es-AR" w:eastAsia="es-AR" w:bidi="es-AR"/>
        </w:rPr>
      </w:pPr>
      <w:r>
        <w:rPr>
          <w:lang w:val="es-AR" w:eastAsia="es-AR" w:bidi="es-AR"/>
        </w:rPr>
        <w:t xml:space="preserve">En efecto, la decisión que impone las consecuencias dañosas sobre quien omitió adoptar una conducta diligente y previsible se ajusta no solo al marco normativo vigente y a la interpretación jurisprudencial consolidada, sino también a los postulados de eficiencia preventiva que persigue el derecho de daños. Alentar comportamientos socialmente deseables mediante reglas claras de imputación objetiva y subjetiva constituye, en última instancia, un instrumento eficaz para reducir la siniestralidad vial y asignar racionalmente los costos derivados de su producción.	</w:t>
        <w:br w:type="textWrapping"/>
      </w:r>
      <w:r>
        <w:rPr>
          <w:lang w:val="es-AR" w:eastAsia="es-AR" w:bidi="es-AR"/>
        </w:rPr>
        <w:t xml:space="preserve"> 	</w:t>
      </w:r>
      <w:r>
        <w:rPr>
          <w:lang w:val="es-AR" w:eastAsia="es-AR" w:bidi="es-AR"/>
        </w:rPr>
        <w:t xml:space="preserve">Nuestra Corte Nacional ha alertado sobre el riesgo que implica una aplicación mecánica de la ley en tanto puede conducir al absurdo del summus ius, summa injuria. Por este motivo, ha reclamado de los intérpretes que ponderen la realidad económica y que, en general, verifiquen la razonabilidad de los fallos atendiendo a las consecuencias que derivan de ellos (cf. CS, Chocobar, Sixto C.c. Caja Nac. de Prev para el Personal del Estado y Servicios Públicos, 27/12/1996 - Fallos: 319:3241 - LA LEY, 1997-B, 247 - La Ley Online, AR/JUR/2647/1996).	</w:t>
        <w:br w:type="textWrapping"/>
      </w:r>
      <w:r>
        <w:rPr>
          <w:lang w:val="es-AR" w:eastAsia="es-AR" w:bidi="es-AR"/>
        </w:rPr>
        <w:t xml:space="preserve"> 	La doctrina de la interpretación previsora opera como un mecanismo de opción entre varias interpretaciones posibles de la norma (se elige, entre ellas, a la que reproduzca un resultado provechoso). El interprete no debe ser indiferente respecto del resultado de su labor, y que actúe sin tener en cuenta el contexto social en que tal resultado ocurre ordinariamente.</w:t>
      </w:r>
    </w:p>
    <w:p>
      <w:pPr>
        <w:pStyle w:val="[Normal]"/>
        <w:spacing w:line="360" w:lineRule="auto"/>
        <w:ind w:firstLine="1134"/>
        <w:jc w:val="both"/>
        <w:rPr>
          <w:lang w:val="es-AR" w:eastAsia="es-AR" w:bidi="es-AR"/>
        </w:rPr>
      </w:pPr>
      <w:r>
        <w:rPr>
          <w:lang w:val="es-AR" w:eastAsia="es-AR" w:bidi="es-AR"/>
        </w:rPr>
        <w:t xml:space="preserve">La regla indica, en tal sentido, que en la interpretación de las normas no debe prescindirse de las consecuencias que se derivan de cada criterio, pues ellas constituyen uno de los índices más seguros para verificar su razonabilidad y su coherencia con el que sistema en que está engarzada la norma (ver en DUARTE, David, La unidad de análisis económico en la Corte, publicado en Revista de Derecho Laboral Actualidad, 1, 2010).</w:t>
      </w:r>
    </w:p>
    <w:p>
      <w:pPr>
        <w:pStyle w:val="[Normal]"/>
        <w:spacing w:line="360" w:lineRule="auto"/>
        <w:ind w:firstLine="1134"/>
        <w:jc w:val="both"/>
        <w:rPr>
          <w:lang w:val="es-AR" w:eastAsia="es-AR" w:bidi="es-AR"/>
        </w:rPr>
      </w:pPr>
      <w:r>
        <w:rPr>
          <w:lang w:val="es-AR" w:eastAsia="es-AR" w:bidi="es-AR"/>
        </w:rPr>
        <w:t xml:space="preserve">En definitiva, la crítica formulada en el agravio se construye sobre premisas que no encuentran respaldo en los elementos objetivos de la causa, y desconoce que fue la propia motocicleta la que, por detrás, embistió al automóvil cuando éste ya había iniciado su maniobra de giro. Esta circunstancia resulta incompatible con la pretensión de exonerar de toda responsabilidad a la actora, cuya conducta, apreciada a la luz de la sana crítica racional y de la normativa vigente, debe reputarse negligente, configurativa de la eximente prevista en el art. 1729 y, por ende, interruptiva del nexo causal como presupuesto de responsabilidad.</w:t>
      </w:r>
    </w:p>
    <w:p>
      <w:pPr>
        <w:pStyle w:val="[Normal]"/>
        <w:spacing w:line="360" w:lineRule="auto"/>
        <w:ind w:firstLine="1134"/>
        <w:jc w:val="both"/>
        <w:rPr>
          <w:lang w:val="es-AR" w:eastAsia="es-AR" w:bidi="es-AR"/>
        </w:rPr>
      </w:pPr>
      <w:r>
        <w:rPr>
          <w:lang w:val="es-AR" w:eastAsia="es-AR" w:bidi="es-AR"/>
        </w:rPr>
        <w:t xml:space="preserve">Por tanto, el agravio debe ser desestimado, confirmando lo resuelto en primera instancia en cuanto a la atribución de responsabilidad por la producción del siniestro.	</w:t>
      </w:r>
    </w:p>
    <w:p>
      <w:pPr>
        <w:pStyle w:val="[Normal]"/>
        <w:spacing w:line="360" w:lineRule="auto"/>
        <w:ind w:firstLine="1134"/>
        <w:jc w:val="both"/>
        <w:rPr>
          <w:lang w:val="es-AR" w:eastAsia="es-AR" w:bidi="es-AR"/>
        </w:rPr>
      </w:pPr>
      <w:r>
        <w:rPr>
          <w:lang w:val="es-AR" w:eastAsia="es-AR" w:bidi="es-AR"/>
        </w:rPr>
        <w:t xml:space="preserve">II.- Tampoco puede prosperar el segundo agravio introducido por la parte actora, en el que se cuestiona la interpretación normativa efectuada por el sentenciante respecto de los deberes del conductor que ejecuta una maniobra de giro a la izquierda.</w:t>
      </w:r>
    </w:p>
    <w:p>
      <w:pPr>
        <w:pStyle w:val="[Normal]"/>
        <w:spacing w:line="360" w:lineRule="auto"/>
        <w:ind w:firstLine="1134"/>
        <w:jc w:val="both"/>
        <w:rPr>
          <w:lang w:val="es-AR" w:eastAsia="es-AR" w:bidi="es-AR"/>
        </w:rPr>
      </w:pPr>
      <w:r>
        <w:rPr>
          <w:lang w:val="es-AR" w:eastAsia="es-AR" w:bidi="es-AR"/>
        </w:rPr>
        <w:t xml:space="preserve">Alega la recurrente que el juez de grado incurre en un error de derecho al descartar la aplicación del art. 44 inc. f de la Ley 24.449, sosteniendo que no se trataba de una vía semaforizada. Añade que esa circunstancia no exime al automovilista de cumplir con los deberes de señalización previa y desplazamiento anticipado al carril más próximo al giro, conforme a los incisos a y b del art. 43 del mismo cuerpo normativo. Sobre esa base, insiste en que el Sr. Nicolari habría girado intempestivamente desde el carril derecho, sin preaviso, lo que constituiría una infracción generadora de responsabilidad.</w:t>
      </w:r>
    </w:p>
    <w:p>
      <w:pPr>
        <w:pStyle w:val="[Normal]"/>
        <w:spacing w:line="360" w:lineRule="auto"/>
        <w:ind w:firstLine="1134"/>
        <w:jc w:val="both"/>
        <w:rPr>
          <w:lang w:val="es-AR" w:eastAsia="es-AR" w:bidi="es-AR"/>
        </w:rPr>
      </w:pPr>
      <w:r>
        <w:rPr>
          <w:lang w:val="es-AR" w:eastAsia="es-AR" w:bidi="es-AR"/>
        </w:rPr>
        <w:t xml:space="preserve">Empero, el razonamiento sostenido en la instancia de origen no resulta a mi juicio objetable. El art. 44 inc. f de la Ley 24.449 establece una prohibición expresa de giro a la izquierda en vías de doble mano que cuenten con semáforos, salvo señal que lo permita. Tal previsión no es aplicable al presente caso por tratarse de una intersección no semaforizada, como surge claramente del informe pericial accidentológico y del relevamiento planimétrico. Por tanto, el giro realizado por el demandado no estaba prohibido por la ley, ni por alguna señalización reglamentaria colocada en el lugar.</w:t>
      </w:r>
    </w:p>
    <w:p>
      <w:pPr>
        <w:pStyle w:val="[Normal]"/>
        <w:spacing w:line="360" w:lineRule="auto"/>
        <w:ind w:firstLine="1134"/>
        <w:jc w:val="both"/>
        <w:rPr>
          <w:lang w:val="es-AR" w:eastAsia="es-AR" w:bidi="es-AR"/>
        </w:rPr>
      </w:pPr>
      <w:r>
        <w:rPr>
          <w:lang w:val="es-AR" w:eastAsia="es-AR" w:bidi="es-AR"/>
        </w:rPr>
        <w:t xml:space="preserve">Desde luego, ello no implica desconocer los deberes generales de precaución y señalización que pesan sobre quien ejecuta una maniobra de giro. Sin embargo, y tal como fue razonado en el considerando anterior, la prueba rendida en autos no permite tener por acreditado que el Sr. Nicolari haya efectuado el viraje de forma intempestiva, ni que lo haya realizado sin haber iniciado previamente la maniobra con suficiente anticipación. Tampoco se ha demostrado la ausencia de señalización mediante el sistema lumínico del vehículo, extremo que la parte actora alega pero no acredita.</w:t>
      </w:r>
    </w:p>
    <w:p>
      <w:pPr>
        <w:pStyle w:val="[Normal]"/>
        <w:spacing w:line="360" w:lineRule="auto"/>
        <w:ind w:firstLine="1134"/>
        <w:jc w:val="both"/>
        <w:rPr>
          <w:lang w:val="es-AR" w:eastAsia="es-AR" w:bidi="es-AR"/>
        </w:rPr>
      </w:pPr>
      <w:r>
        <w:rPr>
          <w:lang w:val="es-AR" w:eastAsia="es-AR" w:bidi="es-AR"/>
        </w:rPr>
        <w:t xml:space="preserve">En cambio, como se tuvo por probado, la colisión se produjo cuando el automóvil ya se encontraba efectuando el giro hacia calle Chacabuco, siendo embestido por la motocicleta en su parte lateral trasera izquierda. El lugar del impacto y las huellas relevadas en el pavimento permiten inferir que el automotor ya había iniciado su desplazamiento transversal y se hallaba próximo a completar el cruce, lo que descarta la hipótesis de una maniobra súbita. De ello se sigue que, aún en el marco del art. 43 de la ley de tránsito, el demandado no incurrió en una conducta antijurídica que permita desplazar la carga del daño hacia su esfera.</w:t>
      </w:r>
    </w:p>
    <w:p>
      <w:pPr>
        <w:pStyle w:val="[Normal]"/>
        <w:spacing w:line="360" w:lineRule="auto"/>
        <w:ind w:firstLine="1134"/>
        <w:jc w:val="both"/>
        <w:rPr>
          <w:lang w:val="es-AR" w:eastAsia="es-AR" w:bidi="es-AR"/>
        </w:rPr>
      </w:pPr>
      <w:r>
        <w:rPr>
          <w:lang w:val="es-AR" w:eastAsia="es-AR" w:bidi="es-AR"/>
        </w:rPr>
        <w:t xml:space="preserve">En consecuencia, corresponde desestimar también este agravio, confirmando la adecuación del juicio jurídico efectuado en la instancia de grado sobre la base de los hechos debidamente acreditados en autos.</w:t>
      </w:r>
    </w:p>
    <w:p>
      <w:pPr>
        <w:pStyle w:val="[Normal]"/>
        <w:spacing w:line="360" w:lineRule="auto"/>
        <w:ind w:firstLine="1134"/>
        <w:jc w:val="both"/>
        <w:rPr>
          <w:lang w:val="es-AR" w:eastAsia="es-AR" w:bidi="es-AR"/>
        </w:rPr>
      </w:pPr>
      <w:r>
        <w:rPr>
          <w:lang w:val="es-AR" w:eastAsia="es-AR" w:bidi="es-AR"/>
        </w:rPr>
        <w:t xml:space="preserve">III.- Idéntica suerte adversa ha de correr el tercer agravio formulado por la parte</w:t>
      </w:r>
      <w:r>
        <w:rPr>
          <w:b/>
          <w:lang w:val="es-AR" w:eastAsia="es-AR" w:bidi="es-AR"/>
        </w:rPr>
        <w:t xml:space="preserve"> </w:t>
      </w:r>
      <w:r>
        <w:rPr>
          <w:lang w:val="es-AR" w:eastAsia="es-AR" w:bidi="es-AR"/>
        </w:rPr>
        <w:t xml:space="preserve">recurrente, referido a la supuesta ausencia de culpa de la víctima y la subsistencia del nexo causal entre el riesgo creado por el demandado y el daño experimentado.</w:t>
      </w:r>
    </w:p>
    <w:p>
      <w:pPr>
        <w:pStyle w:val="[Normal]"/>
        <w:spacing w:line="360" w:lineRule="auto"/>
        <w:ind w:firstLine="1134"/>
        <w:jc w:val="both"/>
        <w:rPr>
          <w:lang w:val="es-AR" w:eastAsia="es-AR" w:bidi="es-AR"/>
        </w:rPr>
      </w:pPr>
      <w:r>
        <w:rPr>
          <w:lang w:val="es-AR" w:eastAsia="es-AR" w:bidi="es-AR"/>
        </w:rPr>
        <w:t xml:space="preserve">Como se ha desarrollado en los considerandos anteriores, tanto al analizar la atribución de responsabilidad como el encuadre normativo aplicable, surge de manera clara que fue la motociclista quien, al no mantener una distancia prudente respecto del vehículo que la precedía, embistió al automotor del Sr. Nicolari en su parte lateral posterior izquierda, cuando éste ya se encontraba realizando la maniobra de giro. Tal extremo, corroborado por la prueba pericial accidentológica y las huellas relevadas en el pavimento, permite inferir una conducta negligente por parte de la</w:t>
      </w:r>
      <w:r>
        <w:rPr>
          <w:b/>
          <w:lang w:val="es-AR" w:eastAsia="es-AR" w:bidi="es-AR"/>
        </w:rPr>
        <w:t xml:space="preserve"> </w:t>
      </w:r>
      <w:r>
        <w:rPr>
          <w:lang w:val="es-AR" w:eastAsia="es-AR" w:bidi="es-AR"/>
        </w:rPr>
        <w:t xml:space="preserve">accionante, contraria al deber de conducción diligente que exige el art. 48 inc. g de la Ley 24.449.</w:t>
      </w:r>
    </w:p>
    <w:p>
      <w:pPr>
        <w:pStyle w:val="[Normal]"/>
        <w:spacing w:line="360" w:lineRule="auto"/>
        <w:ind w:firstLine="1134"/>
        <w:jc w:val="both"/>
        <w:rPr>
          <w:lang w:val="es-AR" w:eastAsia="es-AR" w:bidi="es-AR"/>
        </w:rPr>
      </w:pPr>
      <w:r>
        <w:rPr>
          <w:lang w:val="es-AR" w:eastAsia="es-AR" w:bidi="es-AR"/>
        </w:rPr>
        <w:t xml:space="preserve">A ello se suma que no ha sido demostrado que la maniobra del demandado fuera sorpresiva o antirreglamentaria, conforme se estableció en el tratamiento del segundo agravio. Por el contrario, no existe en la causa elemento alguno que permita tener por acreditada una señalización inadecuada o una infracción de tránsito por parte del conductor del automóvil. En ese contexto, era exigible que la motociclista ajustara su conducción al entorno urbano, previendo la posibilidad de maniobras de giro en una intersección no semaforizada.</w:t>
      </w:r>
    </w:p>
    <w:p>
      <w:pPr>
        <w:pStyle w:val="[Normal]"/>
        <w:spacing w:line="360" w:lineRule="auto"/>
        <w:ind w:firstLine="1134"/>
        <w:jc w:val="both"/>
        <w:rPr>
          <w:lang w:val="es-AR" w:eastAsia="es-AR" w:bidi="es-AR"/>
        </w:rPr>
      </w:pPr>
      <w:r>
        <w:rPr>
          <w:lang w:val="es-AR" w:eastAsia="es-AR" w:bidi="es-AR"/>
        </w:rPr>
        <w:t xml:space="preserve">Frente a ello, la colisión no puede ser imputada al riesgo creado por el automotor del demandado, sino que encuentra causa directa y suficiente en el obrar de la víctima. Tal como se sostuvo al rechazar el primer agravio, su accionar se presenta como jurídicamente relevante a los fines de interrumpir el nexo causal en los términos del art. 1729 del Código Civil y Comercial de la Nación, configurando una causa exclusiva del daño.</w:t>
      </w:r>
    </w:p>
    <w:p>
      <w:pPr>
        <w:pStyle w:val="[Normal]"/>
        <w:spacing w:line="360" w:lineRule="auto"/>
        <w:ind w:firstLine="1134"/>
        <w:jc w:val="both"/>
        <w:rPr>
          <w:lang w:val="es-AR" w:eastAsia="es-AR" w:bidi="es-AR"/>
        </w:rPr>
      </w:pPr>
      <w:r>
        <w:rPr>
          <w:lang w:val="es-AR" w:eastAsia="es-AR" w:bidi="es-AR"/>
        </w:rPr>
        <w:t xml:space="preserve">En consecuencia, corresponde también rechazar este agravio y confirmar la sentencia de grado en cuanto desestima la pretensión indemnizatoria formulada por la parte apelante.</w:t>
      </w:r>
    </w:p>
    <w:p>
      <w:pPr>
        <w:pStyle w:val="[Normal]"/>
        <w:spacing w:line="360" w:lineRule="auto"/>
        <w:ind w:firstLine="1134"/>
        <w:jc w:val="both"/>
        <w:rPr>
          <w:lang w:val="es-AR" w:eastAsia="es-AR" w:bidi="es-AR"/>
        </w:rPr>
      </w:pPr>
      <w:r>
        <w:rPr>
          <w:lang w:val="es-AR" w:eastAsia="es-AR" w:bidi="es-AR"/>
        </w:rPr>
        <w:t xml:space="preserve">IV. Por último, el cuarto agravio tampoco habrá de merecer una recepción positiva.	</w:t>
        <w:br w:type="textWrapping"/>
      </w:r>
      <w:r>
        <w:rPr>
          <w:lang w:val="es-AR" w:eastAsia="es-AR" w:bidi="es-AR"/>
        </w:rPr>
        <w:t xml:space="preserve"> 	La recurrente objeta la aplicación de un precedente de la Cámara Civil y Comercial de San Nicolás, por considerar que trata de un supuesto fáctico diverso: un motociclista que gira e interfiere el tránsito de vehículos que circulan en sentido contrario. Aduce, en cambio, que en autos ambos vehículos circulaban en el mismo sentido y que fue el demandado quien habría realizado una maniobra sorpresiva sin cumplir los deberes legales de señalización y ubicación previa en el carril correspondiente.</w:t>
      </w:r>
    </w:p>
    <w:p>
      <w:pPr>
        <w:pStyle w:val="[Normal]"/>
        <w:spacing w:line="360" w:lineRule="auto"/>
        <w:ind w:firstLine="1134"/>
        <w:jc w:val="both"/>
        <w:rPr>
          <w:lang w:val="es-AR" w:eastAsia="es-AR" w:bidi="es-AR"/>
        </w:rPr>
      </w:pPr>
      <w:r>
        <w:rPr>
          <w:lang w:val="es-AR" w:eastAsia="es-AR" w:bidi="es-AR"/>
        </w:rPr>
        <w:t xml:space="preserve">Sin embargo, esta crítica no resulta atendible. La finalidad de la cita jurisprudencial empleada por el juez de grado no fue equiparar literalmente los hechos, sino extraer un principio general que ha sido recogido de manera constante por la jurisprudencia: que las maniobras de giro -especialmente aquellas que implican una modificación sustancial de la línea de marcha- deben ser ejecutadas con especial prudencia y solo cuando el tránsito lo permita. Este criterio resulta plenamente aplicable al caso.</w:t>
      </w:r>
    </w:p>
    <w:p>
      <w:pPr>
        <w:pStyle w:val="[Normal]"/>
        <w:spacing w:line="360" w:lineRule="auto"/>
        <w:ind w:firstLine="1134"/>
        <w:jc w:val="both"/>
        <w:rPr>
          <w:lang w:val="es-AR" w:eastAsia="es-AR" w:bidi="es-AR"/>
        </w:rPr>
      </w:pPr>
      <w:r>
        <w:rPr>
          <w:lang w:val="es-AR" w:eastAsia="es-AR" w:bidi="es-AR"/>
        </w:rPr>
        <w:t xml:space="preserve">Desde la perspectiva de la teoría del precedente, corresponde recordar que no es la coincidencia material entre los hechos lo que otorga valor normativo a una decisión anterior, sino su </w:t>
      </w:r>
      <w:r>
        <w:rPr>
          <w:i/>
          <w:lang w:val="es-AR" w:eastAsia="es-AR" w:bidi="es-AR"/>
        </w:rPr>
        <w:t xml:space="preserve">"ratio decidendi"</w:t>
      </w:r>
      <w:r>
        <w:rPr>
          <w:lang w:val="es-AR" w:eastAsia="es-AR" w:bidi="es-AR"/>
        </w:rPr>
        <w:t xml:space="preserve">, esto es, la razón jurídica fundamental que sostiene el fallo. En tal sentido, lo relevante no es la particular configuración fáctica del caso citado, sino la regla de derecho que de él se deriva y su pertinencia para resolver el caso presente. Este principio se relaciona directamente con las denominadas </w:t>
      </w:r>
      <w:r>
        <w:rPr>
          <w:i/>
          <w:lang w:val="es-AR" w:eastAsia="es-AR" w:bidi="es-AR"/>
        </w:rPr>
        <w:t xml:space="preserve">"propiedades esenciales del caso"</w:t>
      </w:r>
      <w:r>
        <w:rPr>
          <w:lang w:val="es-AR" w:eastAsia="es-AR" w:bidi="es-AR"/>
        </w:rPr>
        <w:t xml:space="preserve"> -según las formulaciones más recientes de la doctrina-, esto es, aquellos elementos jurídicamente relevantes que permiten trasladar la solución adoptada en un precedente a otro supuesto, aún cuando existan diferencias accidentales o contextuales (MOREA, Adrián Oscar, La comparación de precedentes en la cuantificación del daño, en Temas de derecho civil, Ed. Erreius, Año 7, N° 7 -jul. 2021-).</w:t>
      </w:r>
    </w:p>
    <w:p>
      <w:pPr>
        <w:pStyle w:val="[Normal]"/>
        <w:spacing w:line="360" w:lineRule="auto"/>
        <w:ind w:firstLine="1134"/>
        <w:jc w:val="both"/>
        <w:rPr>
          <w:lang w:val="es-AR" w:eastAsia="es-AR" w:bidi="es-AR"/>
        </w:rPr>
      </w:pPr>
      <w:r>
        <w:rPr>
          <w:lang w:val="es-AR" w:eastAsia="es-AR" w:bidi="es-AR"/>
        </w:rPr>
        <w:t xml:space="preserve">Además, como ha sido desarrollado en los agravios anteriores, no se ha acreditado que el Sr. Nicolari haya incumplido los deberes de advertencia previa o señalización exigidos por el art. 43 inc. a de la Ley 24.449, ni que su conducta haya sido intempestiva o sorpresiva. Por el contrario, la prueba pericial y las constancias objetivas de la causa permiten tener por acreditado que el automóvil ya había iniciado su maniobra de giro al momento del impacto, siendo embestido en su parte lateral trasera izquierda.</w:t>
      </w:r>
    </w:p>
    <w:p>
      <w:pPr>
        <w:pStyle w:val="[Normal]"/>
        <w:spacing w:line="360" w:lineRule="auto"/>
        <w:ind w:firstLine="1134"/>
        <w:jc w:val="both"/>
        <w:rPr>
          <w:lang w:val="es-AR" w:eastAsia="es-AR" w:bidi="es-AR"/>
        </w:rPr>
      </w:pPr>
      <w:r>
        <w:rPr>
          <w:lang w:val="es-AR" w:eastAsia="es-AR" w:bidi="es-AR"/>
        </w:rPr>
        <w:t xml:space="preserve">En consecuencia, la jurisprudencia invocada no resulta inaplicable por tratarse de un caso diferente, sino que aporta pautas interpretativas pertinentes para valorar el grado de diligencia exigible a los conductores en maniobras de giro. Por ello, el agravio debe ser desestimado.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w:t>
      </w:r>
      <w:r>
        <w:rPr>
          <w:b/>
          <w:lang w:val="es-AR" w:eastAsia="es-AR" w:bidi="es-AR"/>
        </w:rPr>
        <w:t xml:space="preserve"> </w:t>
      </w:r>
      <w:r>
        <w:rPr>
          <w:lang w:val="es-AR" w:eastAsia="es-AR" w:bidi="es-AR"/>
        </w:rPr>
        <w:t xml:space="preserve">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actora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actora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20342407669@NOTIFICACIONES.SCBA.GOV.AR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02/09/2025 11:12:59 -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02/09/2025 11:19:35 -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02/09/2025 11:57:30 -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‰8ƒ")è&amp;\Âu„Š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249902090006609785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02/09/2025 11:58:46 hs. bajo el número RS-115-2025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