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5798-25</w:t>
      </w:r>
      <w:r>
        <w:rPr>
          <w:lang w:val="es-AR" w:eastAsia="es-AR" w:bidi="es-AR"/>
        </w:rPr>
        <w:t xml:space="preserve"> caratulada </w:t>
      </w:r>
      <w:r>
        <w:rPr>
          <w:b/>
          <w:lang w:val="es-AR" w:eastAsia="es-AR" w:bidi="es-AR"/>
        </w:rPr>
        <w:t xml:space="preserve">"</w:t>
      </w:r>
      <w:r>
        <w:rPr>
          <w:b/>
          <w:color w:val="000000"/>
          <w:lang w:val="es-AR" w:eastAsia="es-AR" w:bidi="es-AR"/>
        </w:rPr>
        <w:t xml:space="preserve">A. J. N. C/ B. M. L. Y OTRA S/ ALIMENTOS</w:t>
      </w:r>
      <w:r>
        <w:rPr>
          <w:b/>
          <w:lang w:val="es-AR" w:eastAsia="es-AR" w:bidi="es-AR"/>
        </w:rPr>
        <w:t xml:space="preserve">"</w:t>
      </w:r>
      <w:r>
        <w:rPr>
          <w:b/>
          <w:color w:val="000000"/>
          <w:lang w:val="es-AR" w:eastAsia="es-AR" w:bidi="es-AR"/>
        </w:rPr>
        <w:t xml:space="preserve">,</w:t>
      </w:r>
      <w:r>
        <w:rPr>
          <w:lang w:val="es-AR" w:eastAsia="es-AR" w:bidi="es-AR"/>
        </w:rPr>
        <w:t xml:space="preserve"> Expte. </w:t>
      </w:r>
      <w:r>
        <w:rPr>
          <w:color w:val="000000"/>
          <w:lang w:val="es-AR" w:eastAsia="es-AR" w:bidi="es-AR"/>
        </w:rPr>
        <w:t xml:space="preserve">35.421</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hizó</w:t>
      </w:r>
      <w:r>
        <w:rPr>
          <w:color w:val="000000"/>
          <w:lang w:val="es-AR" w:eastAsia="es-AR" w:bidi="es-AR"/>
        </w:rPr>
        <w:t xml:space="preserve"> lugar parcialmente a la demanda promovida por la Sra. J. N. A. en representación de su hija menor de edad y fijar en concepto de cuota alimentaria que deberá abonar el demandado, Sr. L. B. M.  en favor de su hija G.B.B.M., la suma mensual de pesos ciento cuarenta mil ($ 140.000.-). Dicho importe deberá ser depositado en una cuenta que a tales efectos se deberá abrir en el Banco de la Provincia de Buenos Aires Suc. Centro de Pergamino del 1º al 10 de cada mes (arts. 658, 659, y 660 del Código Civil y Comercial). Líbrese oficio de estilo.  Desestimar la demanda interpuesta por la Sra. J. N. A. (DNI 34.991.383 ) en representación de su hija menor de edad contra la codemandada Sra. Andrea M. (DNI 22.787.3729) (arg.art. 668 del CCyC, doct. y jurisp citada) por lo expuesto en los considerandos.  Establecer que la presente cuota alimentaria debe abonarse por mes adelantado y rige a partir de la fecha de interposición de la demanda -11/3/2024- (arts. 669 y 548 del C.C.C.), a la que deberá deducirse la suma abonada por el alimentante durante el desarrollo de éste proceso en carácter de alimentos provisorios.  Hizo saber al accionado que las sumas debidas por alimentos a partir de la presente por el incumplimiento en el plazo previsto devengarán una tasa de interés (activa) equivalente a la más alta que cobra el Banco de la Provincia de Buenos Aires a sus clientes, según las reglamentaciones del Banco Central de la República Argentina (art. 552 C.C.C.). Difirió la fijación de cuota suplementaria para atender las cuotas alimentarias atrasadas desde la fecha de interposición de la demanda hasta el presente, conforme lo establecido en el punto VI de los considerandos.  Establecer que los intereses devengados en concepto de alimentos atrasados con posterioridad a la presente sentencia se liquiden según las pautas establecidas en el punto VII de los considerandos.  Impuso las costas de la demanda de alimentos contra el progenitor al Sr. B. M. en su condición de vencido y las correspondientes a la demanda contra la abuela paterna en el orden causado (art. 68 CPCC).  Reguló los honorarios profesionales de la Dra. Piaggio Silvia Nélida (letrada de la parte actora), Dra. Denoia Juliana (letrada del demandado B. M.) y Dra. Baissac Daniela Rita (letrada de la demandada M.) en doce (12) jus respectivamente, todos con más aportes de ley e IVA en caso de corresponder (arts. 9, 16, 28, 39, 54 y cc,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por la parte actora (18-6-2025), concedido en relación el 27-6-2025 y fundado el 8-7-2025.  Traslado a la contraparte el 15-7-2025, el que fue evacuado 6-8-2025.  Con fecha 14-8-2025 Sra. Asesora de Incapaces contesto la vista conferida.  Elevados los autos a esta Alzada con fecha 28-8-2025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Los agravios de la quejosa que se encuentran agregados electrónicamente y versan sobre: a) fijación de una cuota por debajo de la canasta de crianza publicada mensualmente por e INDEC y a su decir exigida como parámetro mínimo de la ley 15.513 y en relación al tramo etario resulta insuficiente.  b) Añade que no se garantiza adecuadamente el interés superior del niño en tanto no cubre proporcionalmente las necesidades ordinarias.  c) que con el importe de $ 140.000 mensuales no se cubren los gastos básicos de vivienda, alimentación, vestimenta, educación, recreación y salud., d) omisión de análisis de la capacidad contributiva del progenitor e) falta de fundamentación adecuada f) derecho de igualdad.  g) achaca una carencia sobre previsión de actualización periódica de la cuota.  h) retroactividad que el aquo fija a la fecha de interposición del escrito de demanda y que la quejosa pretende en el inicio de la etapa previa, esto es el 6/03/2023.  i) obligación subsidiaria de la abuela paterna.  j) apartamiento de la aplicación de la ley 15.513.-</w:t>
      </w:r>
    </w:p>
    <w:p>
      <w:pPr>
        <w:pStyle w:val="[Normal]"/>
        <w:spacing w:line="360" w:lineRule="auto"/>
        <w:ind w:firstLine="1134"/>
        <w:jc w:val="both"/>
        <w:rPr>
          <w:lang w:val="es-AR" w:eastAsia="es-AR" w:bidi="es-AR"/>
        </w:rPr>
      </w:pPr>
      <w:r>
        <w:rPr>
          <w:lang w:val="es-AR" w:eastAsia="es-AR" w:bidi="es-AR"/>
        </w:rPr>
        <w:t xml:space="preserve">A su turno el demandado con su patrocinio letrado contesta traslado poniendo en crisis el escrito de expresión de agravios imputando falta de análisis critico y razonado del fallo impugnado.  Y rebate punto por punto los agravios traídos, solicitando la confirmación de la sentencia con costas.-</w:t>
      </w:r>
    </w:p>
    <w:p>
      <w:pPr>
        <w:pStyle w:val="[Normal]"/>
        <w:spacing w:line="360" w:lineRule="auto"/>
        <w:ind w:firstLine="1134"/>
        <w:jc w:val="both"/>
        <w:rPr>
          <w:lang w:val="es-AR" w:eastAsia="es-AR" w:bidi="es-AR"/>
        </w:rPr>
      </w:pPr>
      <w:r>
        <w:rPr>
          <w:lang w:val="es-AR" w:eastAsia="es-AR" w:bidi="es-AR"/>
        </w:rPr>
        <w:t xml:space="preserve">Luce asimismo intervención de la Sra. Asesora de Incapaces con escrito electrónico de fecha 14/08/2025.-</w:t>
      </w:r>
    </w:p>
    <w:p>
      <w:pPr>
        <w:pStyle w:val="[Normal]"/>
        <w:spacing w:line="360" w:lineRule="auto"/>
        <w:ind w:firstLine="1134"/>
        <w:jc w:val="both"/>
        <w:rPr>
          <w:lang w:val="es-AR" w:eastAsia="es-AR" w:bidi="es-AR"/>
        </w:rPr>
      </w:pPr>
      <w:r>
        <w:rPr>
          <w:lang w:val="es-AR" w:eastAsia="es-AR" w:bidi="es-AR"/>
        </w:rPr>
        <w:t xml:space="preserve">Entrando a resolver voy a dar tratamiento a los puntos de queja abordando en forma conjunta los agravios.-</w:t>
      </w:r>
    </w:p>
    <w:p>
      <w:pPr>
        <w:pStyle w:val="[Normal]"/>
        <w:spacing w:line="360" w:lineRule="auto"/>
        <w:ind w:firstLine="1134"/>
        <w:jc w:val="both"/>
        <w:rPr>
          <w:lang w:val="es-AR" w:eastAsia="es-AR" w:bidi="es-AR"/>
        </w:rPr>
      </w:pPr>
      <w:r>
        <w:rPr>
          <w:lang w:val="es-AR" w:eastAsia="es-AR" w:bidi="es-AR"/>
        </w:rPr>
        <w:t xml:space="preserve">En relación al punto obligación de la abuela paterna que la doliente pretende reivindicar en tanto señala a la cuota fijada como irrisoria solicitando se condene a la abuela a completar la que califica como escaso e injusto, adelanto su desestimación.-</w:t>
      </w:r>
    </w:p>
    <w:p>
      <w:pPr>
        <w:pStyle w:val="[Normal]"/>
        <w:spacing w:line="360" w:lineRule="auto"/>
        <w:ind w:firstLine="1134"/>
        <w:jc w:val="both"/>
        <w:rPr>
          <w:lang w:val="es-AR" w:eastAsia="es-AR" w:bidi="es-AR"/>
        </w:rPr>
      </w:pPr>
      <w:r>
        <w:rPr>
          <w:lang w:val="es-AR" w:eastAsia="es-AR" w:bidi="es-AR"/>
        </w:rPr>
        <w:t xml:space="preserve">"El artículo 367 del Código Civil, establece el orden de los parientes obligados al pago de alimentos, y la jurisprudencia y doctrina han interpretado que es sucesivo o subsidiario y no simultáneo.  Por ello, la obligación de los abuelos respecto de los nietos tiene esa condición y se debe justificar la insuficiencia de recursos de los padres o bien la imposibilidad de suministrarlos, para poder reclamarlos" (CN Civ., Sala E, 29/8/91, R. 90.970).-</w:t>
      </w:r>
    </w:p>
    <w:p>
      <w:pPr>
        <w:pStyle w:val="[Normal]"/>
        <w:spacing w:line="360" w:lineRule="auto"/>
        <w:ind w:firstLine="1134"/>
        <w:jc w:val="both"/>
        <w:rPr>
          <w:lang w:val="es-AR" w:eastAsia="es-AR" w:bidi="es-AR"/>
        </w:rPr>
      </w:pPr>
      <w:r>
        <w:rPr>
          <w:lang w:val="es-AR" w:eastAsia="es-AR" w:bidi="es-AR"/>
        </w:rPr>
        <w:t xml:space="preserve">Y este Tribunal aun antes de la consagración normativa en el Código Unificado ya se había pronunciado en numerosos fallos  respecto de la subsidiariedad de la obligación alimentaria".-</w:t>
      </w:r>
    </w:p>
    <w:p>
      <w:pPr>
        <w:pStyle w:val="[Normal]"/>
        <w:spacing w:line="360" w:lineRule="auto"/>
        <w:ind w:firstLine="1134"/>
        <w:jc w:val="both"/>
        <w:rPr>
          <w:lang w:val="es-AR" w:eastAsia="es-AR" w:bidi="es-AR"/>
        </w:rPr>
      </w:pPr>
      <w:r>
        <w:rPr>
          <w:lang w:val="es-AR" w:eastAsia="es-AR" w:bidi="es-AR"/>
        </w:rPr>
        <w:t xml:space="preserve">Liminarmente voy a señalar algunos conceptos vertidos en mi voto de fecha 13/9/2022 Causa 4660-22 caratulada, en cuanto resulta ilustrativo para clarificar teóricamente el tema: "Los abuelos, como parientes consanguíneos en grado ascendente que son de sus nietos, están comprendidos en el régimen alimentario de los arts. 537 y ccs del CCCN y son excluidos en la relación asistencial por los deudores alimentarios directos o principales: los progenitores del menor alimentado.  Ello en el caso de que el deudor principal se haga responsable de la prestación alimentaria, de lo contrario entra a jugar la responsabilidad subsidiaria de los abuelos, se trata respecto de los primeros de una obligación subsidiaria, y su extensión tiene fundamento en el principio de solidaridad familiar, recogido del art. 668 del Cód. Civ. y Com..-</w:t>
      </w:r>
    </w:p>
    <w:p>
      <w:pPr>
        <w:pStyle w:val="[Normal]"/>
        <w:spacing w:line="360" w:lineRule="auto"/>
        <w:ind w:firstLine="1134"/>
        <w:jc w:val="both"/>
        <w:rPr>
          <w:lang w:val="es-AR" w:eastAsia="es-AR" w:bidi="es-AR"/>
        </w:rPr>
      </w:pPr>
      <w:r>
        <w:rPr>
          <w:lang w:val="es-AR" w:eastAsia="es-AR" w:bidi="es-AR"/>
        </w:rPr>
        <w:t xml:space="preserve">En doctrina se verificaron tres posiciones en punto a la obligación alimentaria de los abuelos: Una señala que la obligación alimentaria es estrictamente subsidiaria.  Por otro lado, mediante otra postura se plantea que la obligación es simultánea y la tercera de ellas señala que la obligación alimentaria es intermedia donde se respeta la subsidiariedad y además de ello se tiene en cuenta el interés superior del niño el cual es muy defendido por la Convención de los Derechos de los Niños.-</w:t>
      </w:r>
    </w:p>
    <w:p>
      <w:pPr>
        <w:pStyle w:val="[Normal]"/>
        <w:spacing w:line="360" w:lineRule="auto"/>
        <w:ind w:firstLine="1134"/>
        <w:jc w:val="both"/>
        <w:rPr>
          <w:lang w:val="es-AR" w:eastAsia="es-AR" w:bidi="es-AR"/>
        </w:rPr>
      </w:pPr>
      <w:r>
        <w:rPr>
          <w:lang w:val="es-AR" w:eastAsia="es-AR" w:bidi="es-AR"/>
        </w:rPr>
        <w:t xml:space="preserve">El sistema normativo unificado determina en el art. 668 del Cód. Civ. y Com., que los alimentos a los ascendientes pueden ser reclamados en el mismo proceso en que se demanda a los progenitores o en proceso diverso; además de lo previsto en el título del parentesco, deben acreditarse verosímilmente las dificultades del actor para percibir los alimentos del progenitor obligado.-</w:t>
      </w:r>
    </w:p>
    <w:p>
      <w:pPr>
        <w:pStyle w:val="[Normal]"/>
        <w:spacing w:line="360" w:lineRule="auto"/>
        <w:ind w:firstLine="1134"/>
        <w:jc w:val="both"/>
        <w:rPr>
          <w:lang w:val="es-AR" w:eastAsia="es-AR" w:bidi="es-AR"/>
        </w:rPr>
      </w:pPr>
      <w:r>
        <w:rPr>
          <w:lang w:val="es-AR" w:eastAsia="es-AR" w:bidi="es-AR"/>
        </w:rPr>
        <w:t xml:space="preserve">Asimismo, establece como requisito de procedencia para la acción contra los abuelos, la necesidad de demostración de las dificultades para el cobro por parte del progenitor.  El art. 668 del Cód. Civ. y Com. ha receptado la posibilidad de reclamar de manera directa a los abuelos y demostrar, en ese mismo proceso, la imposibilidad o dificultad del progenitor obligado principal, para que la demanda sea acogida.  Así, se evita una dilación procesal indebida que atenta, de modo innegable, contra la rápida satisfacción del derecho de fondo vulnerado.-</w:t>
      </w:r>
    </w:p>
    <w:p>
      <w:pPr>
        <w:pStyle w:val="[Normal]"/>
        <w:spacing w:line="360" w:lineRule="auto"/>
        <w:ind w:firstLine="1134"/>
        <w:jc w:val="both"/>
        <w:rPr>
          <w:lang w:val="es-AR" w:eastAsia="es-AR" w:bidi="es-AR"/>
        </w:rPr>
      </w:pPr>
      <w:r>
        <w:rPr>
          <w:lang w:val="es-AR" w:eastAsia="es-AR" w:bidi="es-AR"/>
        </w:rPr>
        <w:t xml:space="preserve">Hay un principio de solidaridad familiar indiscutido en esta obligación así como un marco de protección para un pariente en situación de vulnerabilidad que justifica la obligación.-</w:t>
      </w:r>
    </w:p>
    <w:p>
      <w:pPr>
        <w:pStyle w:val="[Normal]"/>
        <w:spacing w:line="360" w:lineRule="auto"/>
        <w:ind w:firstLine="1134"/>
        <w:jc w:val="both"/>
        <w:rPr>
          <w:lang w:val="es-AR" w:eastAsia="es-AR" w:bidi="es-AR"/>
        </w:rPr>
      </w:pPr>
      <w:r>
        <w:rPr>
          <w:lang w:val="es-AR" w:eastAsia="es-AR" w:bidi="es-AR"/>
        </w:rPr>
        <w:t xml:space="preserve">Es dable destacar que a lo largo del tiempo la obligación de los abuelos se mantuvo incólume en cuanto a su carácter subsidiario.  Por lo cual no se encuentran obligados a pasar alimentos a los nietos de manera simultánea con los padres de estos, sino de manera subsidiaria.  Ello en el caso de que los obligados principales incumplan de forma total o parcial con los deberes alimentarios.-</w:t>
      </w:r>
    </w:p>
    <w:p>
      <w:pPr>
        <w:pStyle w:val="[Normal]"/>
        <w:spacing w:line="360" w:lineRule="auto"/>
        <w:ind w:firstLine="1134"/>
        <w:jc w:val="both"/>
        <w:rPr>
          <w:lang w:val="es-AR" w:eastAsia="es-AR" w:bidi="es-AR"/>
        </w:rPr>
      </w:pPr>
      <w:r>
        <w:rPr>
          <w:lang w:val="es-AR" w:eastAsia="es-AR" w:bidi="es-AR"/>
        </w:rPr>
        <w:t xml:space="preserve">Y rigen sin duda alguna principios tales como: la fundamentación por medio de la doctrina de la convencionalidad, la aplicación del requisito de la subsidiariedad en relación a la obligación principal alimentaria, la invocación de principios básicos del derecho de familia y otros extraídos del derecho procesal que también resultan operativos en la materia.  La necesidad de previa acreditación de verosimilitud del vínculo respecto de los abuelos, además del incumplimiento permanente y regular y/o insuficiente del obligado alimentario principal.  Así como la extensión de la obligación alimentaria que pesa sobre los abuelos.-</w:t>
      </w:r>
    </w:p>
    <w:p>
      <w:pPr>
        <w:pStyle w:val="[Normal]"/>
        <w:spacing w:line="360" w:lineRule="auto"/>
        <w:ind w:firstLine="1134"/>
        <w:jc w:val="both"/>
        <w:rPr>
          <w:lang w:val="es-AR" w:eastAsia="es-AR" w:bidi="es-AR"/>
        </w:rPr>
      </w:pPr>
      <w:r>
        <w:rPr>
          <w:lang w:val="es-AR" w:eastAsia="es-AR" w:bidi="es-AR"/>
        </w:rPr>
        <w:t xml:space="preserve">Se ha dicho que "El artículo 367 del Código Civil, establece el orden de los parientes obligados al pago de alimentos, y la jurisprudencia y doctrina han interpretado que es sucesivo o subsidiario y no simultáneo.  Por ello, la obligación de los abuelos respecto de los nietos tiene esa condición y se debe justificar la insuficiencia de recursos de los padres o bien la imposibilidad de suministrarlos, para poder reclamarlos" (CN Civ., Sala E, 29/8/91, R. 90.970).-</w:t>
      </w:r>
    </w:p>
    <w:p>
      <w:pPr>
        <w:pStyle w:val="[Normal]"/>
        <w:spacing w:line="360" w:lineRule="auto"/>
        <w:ind w:firstLine="1134"/>
        <w:jc w:val="both"/>
        <w:rPr>
          <w:lang w:val="es-AR" w:eastAsia="es-AR" w:bidi="es-AR"/>
        </w:rPr>
      </w:pPr>
      <w:r>
        <w:rPr>
          <w:lang w:val="es-AR" w:eastAsia="es-AR" w:bidi="es-AR"/>
        </w:rPr>
        <w:t xml:space="preserve">Ha de recordarse que es el progenitor quien tiene la obligación principal de asistencia alimentaria, y que en este caso los ascendientes responden por un principio de solidaridad familiar.</w:t>
      </w:r>
    </w:p>
    <w:p>
      <w:pPr>
        <w:pStyle w:val="[Normal]"/>
        <w:spacing w:line="360" w:lineRule="auto"/>
        <w:ind w:firstLine="1134"/>
        <w:jc w:val="both"/>
        <w:rPr>
          <w:lang w:val="es-AR" w:eastAsia="es-AR" w:bidi="es-AR"/>
        </w:rPr>
      </w:pPr>
      <w:r>
        <w:rPr>
          <w:lang w:val="es-AR" w:eastAsia="es-AR" w:bidi="es-AR"/>
        </w:rPr>
        <w:t xml:space="preserve">Reseño un antecedente de este Tribunal con voto de mi distinguido colega Dr. Roberto Degleue sobre la graduación de la cuantía del importe en la obligación de los abuelos aplicable en la especie: "Empero, existe un tercer factor que cabe computar a la hora de determinar la cuantía final de la cuota alimentaria, que es la contribución que deben hacer los otros progenitores en orden a la satisfacción de las necesidades del menor, aspecto que adquiere aquí una mayor dimensión atento al carácter subsidiario de la obligación alimentaria de los abuelos.  Esto significa que, más allá de la dificultad verosímil que tenga un progenitor para percibir alimentos del otro por el hijo menor de edad en común -de cuya prueba dependerá la responsabilidad alimentaria de los abuelos-, corresponde verificar la insuficiencia económica de ambos para atender a la cuota alimentaria por cuanto son ambos los obligados principales a su cumplimiento.  La razón de ello no es sino la subsidiariedad sustancial de la acción alimentaria; aspecto que no sólo impacta en la  responsabilidad alimentaria del abuelo, sino también en el quantum de su obligación alimentaria"  Causa 3429 "Gattari".-</w:t>
      </w:r>
    </w:p>
    <w:p>
      <w:pPr>
        <w:pStyle w:val="[Normal]"/>
        <w:spacing w:line="360" w:lineRule="auto"/>
        <w:ind w:firstLine="1134"/>
        <w:jc w:val="both"/>
        <w:rPr>
          <w:lang w:val="es-AR" w:eastAsia="es-AR" w:bidi="es-AR"/>
        </w:rPr>
      </w:pPr>
      <w:r>
        <w:rPr>
          <w:lang w:val="es-AR" w:eastAsia="es-AR" w:bidi="es-AR"/>
        </w:rPr>
        <w:t xml:space="preserve">No cabe ninguna duda que la disconformidad sobre el monto decidido por el aquo no legitima a la actora a reivindicar la obligación subsidiaria de la progenitora y transformarla en principal como pretende, aún parcialmente.-</w:t>
      </w:r>
    </w:p>
    <w:p>
      <w:pPr>
        <w:pStyle w:val="[Normal]"/>
        <w:spacing w:line="360" w:lineRule="auto"/>
        <w:ind w:firstLine="1134"/>
        <w:jc w:val="both"/>
        <w:rPr>
          <w:lang w:val="es-AR" w:eastAsia="es-AR" w:bidi="es-AR"/>
        </w:rPr>
      </w:pPr>
      <w:r>
        <w:rPr>
          <w:lang w:val="es-AR" w:eastAsia="es-AR" w:bidi="es-AR"/>
        </w:rPr>
        <w:t xml:space="preserve">Con lo cual en este punto es claro que corresponde desestimar los agravios que pretenden revertir el rechazo decidido por el aquo contra la abuela paterna en tanto las motivaciones dadas por el operador  son desde aquí confirmadas (arts. 668 y ccs del CCCN).-</w:t>
      </w:r>
    </w:p>
    <w:p>
      <w:pPr>
        <w:pStyle w:val="[Normal]"/>
        <w:spacing w:line="360" w:lineRule="auto"/>
        <w:ind w:firstLine="1134"/>
        <w:jc w:val="both"/>
        <w:rPr>
          <w:lang w:val="es-AR" w:eastAsia="es-AR" w:bidi="es-AR"/>
        </w:rPr>
      </w:pPr>
      <w:r>
        <w:rPr>
          <w:lang w:val="es-AR" w:eastAsia="es-AR" w:bidi="es-AR"/>
        </w:rPr>
        <w:t xml:space="preserve">Por otro lado achaca al operador omisión de aplicación de la canasta de crianza y los preceptos de la normativa en cuestión.  Veamos el tema.-</w:t>
      </w:r>
    </w:p>
    <w:p>
      <w:pPr>
        <w:pStyle w:val="[Normal]"/>
        <w:spacing w:line="360" w:lineRule="auto"/>
        <w:ind w:firstLine="1134"/>
        <w:jc w:val="both"/>
        <w:rPr>
          <w:lang w:val="es-AR" w:eastAsia="es-AR" w:bidi="es-AR"/>
        </w:rPr>
      </w:pPr>
      <w:r>
        <w:rPr>
          <w:lang w:val="es-AR" w:eastAsia="es-AR" w:bidi="es-AR"/>
        </w:rPr>
        <w:t xml:space="preserve">El 12 de diciembre de 2024 la legislatura de la Provincia de Buenos Aires sancionó con fuerza de ley determinados cambios al procedimiento en materia alimentaria.  Dicha reforma legislativa promulgada por Decreto 3684/2024 quedó registrada bajo el Nº de Ley 15.513, y fue publicada en el Boletín Oficial con fecha 3 de enero de 2025.-</w:t>
      </w:r>
    </w:p>
    <w:p>
      <w:pPr>
        <w:pStyle w:val="[Normal]"/>
        <w:spacing w:line="360" w:lineRule="auto"/>
        <w:ind w:firstLine="1134"/>
        <w:jc w:val="both"/>
        <w:rPr>
          <w:lang w:val="es-AR" w:eastAsia="es-AR" w:bidi="es-AR"/>
        </w:rPr>
      </w:pPr>
      <w:r>
        <w:rPr>
          <w:lang w:val="es-AR" w:eastAsia="es-AR" w:bidi="es-AR"/>
        </w:rPr>
        <w:t xml:space="preserve">La mencionada Ley, en sus 15 artículos, modifica el Decreto Ley 7425/68 Código Procesal Civil y Comercial de la Provincia de Buenos Aires, en lo referido al proceso de alimentos y la efectividad de su cumplimiento.</w:t>
      </w:r>
    </w:p>
    <w:p>
      <w:pPr>
        <w:pStyle w:val="[Normal]"/>
        <w:spacing w:line="360" w:lineRule="auto"/>
        <w:ind w:firstLine="1134"/>
        <w:jc w:val="both"/>
        <w:rPr>
          <w:lang w:val="es-AR" w:eastAsia="es-AR" w:bidi="es-AR"/>
        </w:rPr>
      </w:pPr>
      <w:r>
        <w:rPr>
          <w:lang w:val="es-AR" w:eastAsia="es-AR" w:bidi="es-AR"/>
        </w:rPr>
        <w:t xml:space="preserve">Los cambios van desde la prueba informativa, a los títulos idóneos para la ejecución, previsión de la vista a la Asesoría de Menores e Incapaces, la simplificación de la prueba de la capacidad económica del alimentante, la notificación por canales más expeditos, la elevación de la multa en caso de incomparecencia injustificada del alimentante, y la precisión de la retroactividad de la sentencia.  En cuanto a la fijación de su cuantía determina que se podrá tener en cuenta, entre otros elementos de mérito, el costo de la crianza que surge de la Canasta de Crianza establecida por el INDEC.-</w:t>
      </w:r>
    </w:p>
    <w:p>
      <w:pPr>
        <w:pStyle w:val="[Normal]"/>
        <w:spacing w:line="360" w:lineRule="auto"/>
        <w:ind w:firstLine="1134"/>
        <w:jc w:val="both"/>
        <w:rPr>
          <w:lang w:val="es-AR" w:eastAsia="es-AR" w:bidi="es-AR"/>
        </w:rPr>
      </w:pPr>
      <w:r>
        <w:rPr>
          <w:lang w:val="es-AR" w:eastAsia="es-AR" w:bidi="es-AR"/>
        </w:rPr>
        <w:t xml:space="preserve">En relación a los alimentos devengados durante el proceso, la reforma establece que los mismos se podrán abonar en cuotas, de forma independiente, con la actualización del INDEC.-</w:t>
      </w:r>
    </w:p>
    <w:p>
      <w:pPr>
        <w:pStyle w:val="[Normal]"/>
        <w:spacing w:line="360" w:lineRule="auto"/>
        <w:ind w:firstLine="1134"/>
        <w:jc w:val="both"/>
        <w:rPr>
          <w:lang w:val="es-AR" w:eastAsia="es-AR" w:bidi="es-AR"/>
        </w:rPr>
      </w:pPr>
      <w:r>
        <w:rPr>
          <w:lang w:val="es-AR" w:eastAsia="es-AR" w:bidi="es-AR"/>
        </w:rPr>
        <w:t xml:space="preserve">En caso de incumplimiento de la sentencia dentro del plazo de intimación al pago, se debe ordenar su inscripción ante el Registro de Deudores Alimentarios Morosos. Asimismo, podrá ordenarse cualquier otra medida razonable que garantice la efectividad y la ejecución de lo resuelto en la sentencia.-</w:t>
      </w:r>
    </w:p>
    <w:p>
      <w:pPr>
        <w:pStyle w:val="[Normal]"/>
        <w:spacing w:line="360" w:lineRule="auto"/>
        <w:ind w:firstLine="1134"/>
        <w:jc w:val="both"/>
        <w:rPr>
          <w:lang w:val="es-AR" w:eastAsia="es-AR" w:bidi="es-AR"/>
        </w:rPr>
      </w:pPr>
      <w:r>
        <w:rPr>
          <w:lang w:val="es-AR" w:eastAsia="es-AR" w:bidi="es-AR"/>
        </w:rPr>
        <w:t xml:space="preserve">Se adecua la terminología con relación a los alimentos en el divorcio, de conformidad con lo prescripto en el CCyC.-</w:t>
      </w:r>
    </w:p>
    <w:p>
      <w:pPr>
        <w:pStyle w:val="[Normal]"/>
        <w:spacing w:line="360" w:lineRule="auto"/>
        <w:ind w:firstLine="1134"/>
        <w:jc w:val="both"/>
        <w:rPr>
          <w:lang w:val="es-AR" w:eastAsia="es-AR" w:bidi="es-AR"/>
        </w:rPr>
      </w:pPr>
      <w:r>
        <w:rPr>
          <w:lang w:val="es-AR" w:eastAsia="es-AR" w:bidi="es-AR"/>
        </w:rPr>
        <w:t xml:space="preserve">Con relación al incidente de aumento de la cuota alimentaria, se aclara que la nueva cantidad fijada rige desde la solicitud de etapa previa o desde la interposición del pedido, lo que ocurra primero.  En el caso del incidente de aumento las costas serán pagadas por la parte demandada.-</w:t>
      </w:r>
    </w:p>
    <w:p>
      <w:pPr>
        <w:pStyle w:val="[Normal]"/>
        <w:spacing w:line="360" w:lineRule="auto"/>
        <w:ind w:firstLine="1134"/>
        <w:jc w:val="both"/>
        <w:rPr>
          <w:lang w:val="es-AR" w:eastAsia="es-AR" w:bidi="es-AR"/>
        </w:rPr>
      </w:pPr>
      <w:r>
        <w:rPr>
          <w:lang w:val="es-AR" w:eastAsia="es-AR" w:bidi="es-AR"/>
        </w:rPr>
        <w:t xml:space="preserve">Por último, en esta temática dispuso como optativo para la actora el tránsito por la etapa previa.-</w:t>
      </w:r>
    </w:p>
    <w:p>
      <w:pPr>
        <w:pStyle w:val="[Normal]"/>
        <w:spacing w:line="360" w:lineRule="auto"/>
        <w:ind w:firstLine="1134"/>
        <w:jc w:val="both"/>
        <w:rPr>
          <w:lang w:val="es-AR" w:eastAsia="es-AR" w:bidi="es-AR"/>
        </w:rPr>
      </w:pPr>
      <w:r>
        <w:rPr>
          <w:lang w:val="es-AR" w:eastAsia="es-AR" w:bidi="es-AR"/>
        </w:rPr>
        <w:t xml:space="preserve">En lo que aquí importa la reforma señalada dice que el juez "podrá" ARTÍCULO 9°: Modifícase el artículo 641 del Decreto Ley 7425/68 -Código Procesal Civil y Comercial de la Provincia de Buenos Aires- el que quedará redactado de la siguiente manera:</w:t>
      </w:r>
    </w:p>
    <w:p>
      <w:pPr>
        <w:pStyle w:val="[Normal]"/>
        <w:spacing w:line="360" w:lineRule="auto"/>
        <w:ind w:firstLine="1134"/>
        <w:jc w:val="both"/>
        <w:rPr>
          <w:lang w:val="es-AR" w:eastAsia="es-AR" w:bidi="es-AR"/>
        </w:rPr>
      </w:pPr>
      <w:r>
        <w:rPr>
          <w:lang w:val="es-AR" w:eastAsia="es-AR" w:bidi="es-AR"/>
        </w:rPr>
        <w:t xml:space="preserve">"ARTÍCULO 641: Sentencia. Monto de los alimentos. El plazo para dictar sentencia es de cinco (5) días de producida la prueba ofrecida por la parte actora y tiene efectos retroactivos a la fecha de interposición de la demanda o desde la interpelación al obligado por medio fehaciente, siempre que la demanda se hubiese interpuesto dentro de los seis (6) meses contados desde la interpelación.  En caso de no haber mediado interpelación fehaciente o no haberse promovido la demanda en el plazo del párrafo anterior, los efectos de la sentencia se retrotraen a la fecha de inicio de la etapa previa o de la interposición de la demanda, la que fuese anterior.-</w:t>
      </w:r>
    </w:p>
    <w:p>
      <w:pPr>
        <w:pStyle w:val="[Normal]"/>
        <w:spacing w:line="360" w:lineRule="auto"/>
        <w:ind w:firstLine="1134"/>
        <w:jc w:val="both"/>
        <w:rPr>
          <w:lang w:val="es-AR" w:eastAsia="es-AR" w:bidi="es-AR"/>
        </w:rPr>
      </w:pPr>
      <w:r>
        <w:rPr>
          <w:lang w:val="es-AR" w:eastAsia="es-AR" w:bidi="es-AR"/>
        </w:rPr>
        <w:t xml:space="preserve">La sentencia determinará el monto total de la obligación alimentaria.  </w:t>
      </w:r>
      <w:r>
        <w:rPr>
          <w:b/>
          <w:lang w:val="es-AR" w:eastAsia="es-AR" w:bidi="es-AR"/>
        </w:rPr>
        <w:t xml:space="preserve">Para la estimación del valor real de su cuantía, tratándose de alimentos que se reclamen en beneficios de menores de edad podrá tener en cuenta, entre otros elementos de mérito, el costo de la crianza que surge de la Canasta de Crianza de la Primera Infancia, la Niñez y la Adolescencia establecida por el Instituto Nacional de Estadísticas y Censos de la República Argentina (INDEC) o medición que adopte la provincia de Buenos Aires.”</w:t>
      </w:r>
      <w:r>
        <w:rPr>
          <w:lang w:val="es-AR" w:eastAsia="es-AR" w:bidi="es-AR"/>
        </w:rPr>
        <w:t xml:space="preserve"> (La negrita me pertenece).-</w:t>
      </w:r>
    </w:p>
    <w:p>
      <w:pPr>
        <w:pStyle w:val="[Normal]"/>
        <w:spacing w:line="360" w:lineRule="auto"/>
        <w:ind w:firstLine="1134"/>
        <w:jc w:val="both"/>
        <w:rPr>
          <w:lang w:val="es-AR" w:eastAsia="es-AR" w:bidi="es-AR"/>
        </w:rPr>
      </w:pPr>
      <w:r>
        <w:rPr>
          <w:lang w:val="es-AR" w:eastAsia="es-AR" w:bidi="es-AR"/>
        </w:rPr>
        <w:t xml:space="preserve">Es optativo en la determinación del valor de la cuota y no imperativo tener en cuenta el costo de la canasta de crianza como pretende la quejosa.-</w:t>
      </w:r>
    </w:p>
    <w:p>
      <w:pPr>
        <w:pStyle w:val="[Normal]"/>
        <w:spacing w:line="360" w:lineRule="auto"/>
        <w:ind w:firstLine="1134"/>
        <w:jc w:val="both"/>
        <w:rPr>
          <w:lang w:val="es-AR" w:eastAsia="es-AR" w:bidi="es-AR"/>
        </w:rPr>
      </w:pPr>
      <w:r>
        <w:rPr>
          <w:lang w:val="es-AR" w:eastAsia="es-AR" w:bidi="es-AR"/>
        </w:rPr>
        <w:t xml:space="preserve">No advierto desde aquí que las críticas que vienen fundadas en estos puntos puedan neutralizar lo decidido por el aquo.-</w:t>
      </w:r>
    </w:p>
    <w:p>
      <w:pPr>
        <w:pStyle w:val="[Normal]"/>
        <w:spacing w:line="360" w:lineRule="auto"/>
        <w:ind w:firstLine="1134"/>
        <w:jc w:val="both"/>
        <w:rPr>
          <w:lang w:val="es-AR" w:eastAsia="es-AR" w:bidi="es-AR"/>
        </w:rPr>
      </w:pPr>
      <w:r>
        <w:rPr>
          <w:lang w:val="es-AR" w:eastAsia="es-AR" w:bidi="es-AR"/>
        </w:rPr>
        <w:t xml:space="preserve">Tampoco lo relativo a la falta de análisis de la actividad laboral del accionado en cuanto claramente se tuvo en cuenta la contestación de la Afip indicando que posee baja definitiva en el monotributo desde abril de 2022 y que es músico y da clases y hace shows, lo que toma de la propia declaración del demandado y los testigos, habiendo evaluado el magistrado  correctamente la prueba.-</w:t>
      </w:r>
    </w:p>
    <w:p>
      <w:pPr>
        <w:pStyle w:val="[Normal]"/>
        <w:spacing w:line="360" w:lineRule="auto"/>
        <w:ind w:firstLine="1134"/>
        <w:jc w:val="both"/>
        <w:rPr>
          <w:lang w:val="es-AR" w:eastAsia="es-AR" w:bidi="es-AR"/>
        </w:rPr>
      </w:pPr>
      <w:r>
        <w:rPr>
          <w:lang w:val="es-AR" w:eastAsia="es-AR" w:bidi="es-AR"/>
        </w:rPr>
        <w:t xml:space="preserve">La actora no ha aportado elementos de prueba que hayan demostrado una capacidad económica diferente.-</w:t>
      </w:r>
    </w:p>
    <w:p>
      <w:pPr>
        <w:pStyle w:val="[Normal]"/>
        <w:spacing w:line="360" w:lineRule="auto"/>
        <w:ind w:firstLine="1134"/>
        <w:jc w:val="both"/>
        <w:rPr>
          <w:lang w:val="es-AR" w:eastAsia="es-AR" w:bidi="es-AR"/>
        </w:rPr>
      </w:pPr>
      <w:r>
        <w:rPr>
          <w:lang w:val="es-AR" w:eastAsia="es-AR" w:bidi="es-AR"/>
        </w:rPr>
        <w:t xml:space="preserve">De todo esto se sigue que la falta de fundamentación adecuada de la sentencia no es tal, en tanto se han analizado varios parámetros y aparece más como una argumentación contra el resultado que le es adverso.-</w:t>
      </w:r>
    </w:p>
    <w:p>
      <w:pPr>
        <w:pStyle w:val="[Normal]"/>
        <w:spacing w:line="360" w:lineRule="auto"/>
        <w:ind w:firstLine="1134"/>
        <w:jc w:val="both"/>
        <w:rPr>
          <w:lang w:val="es-AR" w:eastAsia="es-AR" w:bidi="es-AR"/>
        </w:rPr>
      </w:pPr>
      <w:r>
        <w:rPr>
          <w:lang w:val="es-AR" w:eastAsia="es-AR" w:bidi="es-AR"/>
        </w:rPr>
        <w:t xml:space="preserve">No se ha desconocido tampoco que la obligación de los padres es compartida y que la contribución materna en el hogar y sobre los hijos también tiene una traducción económica, pero en la especie no veo que se haya vulnerado tal principio solo en la afirmación de que la cuota no cumple las expectativas cuantitativas esperadas.-</w:t>
      </w:r>
    </w:p>
    <w:p>
      <w:pPr>
        <w:pStyle w:val="[Normal]"/>
        <w:spacing w:line="360" w:lineRule="auto"/>
        <w:ind w:firstLine="1134"/>
        <w:jc w:val="both"/>
        <w:rPr>
          <w:lang w:val="es-AR" w:eastAsia="es-AR" w:bidi="es-AR"/>
        </w:rPr>
      </w:pPr>
      <w:r>
        <w:rPr>
          <w:lang w:val="es-AR" w:eastAsia="es-AR" w:bidi="es-AR"/>
        </w:rPr>
        <w:t xml:space="preserve">La retroactividad se ha de confirmar en la fecha de notificación de la demanda tal como lo ha recogido el operador puesto que las opciones contempladas por el art. 9 de la ley 15.513 que modifica el art. 641 del CPCC dice expresamente que tiene efectos retroactivos a la fecha de interposición de la demanda o desde la interpelación al obligado por medio fehaciente, sin que se haya demostrado donde se sitúa la segunda opción y cual es el plazo que media entre ambas opciones, con lo cual la elegida por el magistrado está encuadrada dentro de la ley.-</w:t>
      </w:r>
    </w:p>
    <w:p>
      <w:pPr>
        <w:pStyle w:val="[Normal]"/>
        <w:spacing w:line="360" w:lineRule="auto"/>
        <w:ind w:firstLine="1134"/>
        <w:jc w:val="both"/>
        <w:rPr>
          <w:lang w:val="es-AR" w:eastAsia="es-AR" w:bidi="es-AR"/>
        </w:rPr>
      </w:pPr>
      <w:r>
        <w:rPr>
          <w:lang w:val="es-AR" w:eastAsia="es-AR" w:bidi="es-AR"/>
        </w:rPr>
        <w:t xml:space="preserve">Voy a atender por último el punto relativo al mecanismo de actualización periódica de la cuota fijada, siguiendo el precedente de este Tribunal (Causa 5686) ordenando que el pago dinerario de la cuota alimentaria sea actualizada en forma semestral  y aplicando el Índice de la Canasta Básica Total publicada en el INDEC (arts. 658, 659 y 662 del Código Civil y Comercial, arts. 1, 28 y ccdtes de la CDPCD).-(https://www.indec.gob.ar/indec/web/Nivel4-Tema-4-43-149) (ats. 658, 659 y 662 del CPCC y arts 1 y 28 del CDPCD.-</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b/>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sólo en punto a la admisión del mecanismo de actualización de la cuota conforme se describe en los considerandos del presente.-Confirmando en todo lo demás la sentencia apelada.-</w:t>
      </w:r>
    </w:p>
    <w:p>
      <w:pPr>
        <w:pStyle w:val="[Normal]"/>
        <w:spacing w:line="360" w:lineRule="auto"/>
        <w:ind w:firstLine="1134"/>
        <w:jc w:val="both"/>
        <w:rPr>
          <w:lang w:val="es-AR" w:eastAsia="es-AR" w:bidi="es-AR"/>
        </w:rPr>
      </w:pPr>
      <w:r>
        <w:rPr>
          <w:lang w:val="es-AR" w:eastAsia="es-AR" w:bidi="es-AR"/>
        </w:rPr>
        <w:t xml:space="preserve">Costas al demandado teniendo en cuenta la naturaleza de la cuestión referida a la prestación alimentaria de un menor.-</w:t>
      </w:r>
    </w:p>
    <w:p>
      <w:pPr>
        <w:pStyle w:val="[Normal]"/>
        <w:spacing w:line="360" w:lineRule="auto"/>
        <w:ind w:firstLine="1134"/>
        <w:jc w:val="both"/>
        <w:rPr>
          <w:lang w:val="es-AR" w:eastAsia="es-AR" w:bidi="es-AR"/>
        </w:rPr>
      </w:pPr>
      <w:r>
        <w:rPr>
          <w:lang w:val="es-AR" w:eastAsia="es-AR" w:bidi="es-AR"/>
        </w:rPr>
        <w:t xml:space="preserve">Los honorarios de Alzada se regulan por auto separado.-</w:t>
      </w:r>
    </w:p>
    <w:p>
      <w:pPr>
        <w:pStyle w:val="[Normal]"/>
        <w:spacing w:line="360" w:lineRule="auto"/>
        <w:ind w:firstLine="1134"/>
        <w:jc w:val="both"/>
        <w:rPr>
          <w:b/>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sólo en punto a la admisión del mecanismo de actualización de la cuota conforme se describe en los considerandos del presente. Confirmando en todo lo demás la sentencia apelada.-</w:t>
      </w:r>
    </w:p>
    <w:p>
      <w:pPr>
        <w:pStyle w:val="[Normal]"/>
        <w:spacing w:line="360" w:lineRule="auto"/>
        <w:ind w:firstLine="1134"/>
        <w:jc w:val="both"/>
        <w:rPr>
          <w:lang w:val="es-AR" w:eastAsia="es-AR" w:bidi="es-AR"/>
        </w:rPr>
      </w:pPr>
      <w:r>
        <w:rPr>
          <w:lang w:val="es-AR" w:eastAsia="es-AR" w:bidi="es-AR"/>
        </w:rPr>
        <w:t xml:space="preserve">Costas al demandado teniendo en cuenta la naturaleza de la cuestión referida a la prestación alimentaria de un menor.-</w:t>
      </w:r>
    </w:p>
    <w:p>
      <w:pPr>
        <w:pStyle w:val="[Normal]"/>
        <w:spacing w:line="360" w:lineRule="auto"/>
        <w:ind w:firstLine="1134"/>
        <w:jc w:val="both"/>
        <w:rPr>
          <w:lang w:val="es-AR" w:eastAsia="es-AR" w:bidi="es-AR"/>
        </w:rPr>
      </w:pPr>
      <w:r>
        <w:rPr>
          <w:lang w:val="es-AR" w:eastAsia="es-AR" w:bidi="es-AR"/>
        </w:rPr>
        <w:t xml:space="preserve">Los honorarios de Alzada se regulan por auto separado.-</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27061798337@NOTIFICACIONES.SCBA.GOV.AR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27315424599@NOTIFICACIONES.SCBA.GOV.AR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10:20:36 -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30/09/2025 10:57:42 -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‰7q")è&amp;cG"BŠ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238102090006673902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