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w:t>
      </w:r>
    </w:p>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5580-25</w:t>
      </w:r>
      <w:r>
        <w:rPr>
          <w:lang w:val="es-AR" w:eastAsia="es-AR" w:bidi="es-AR"/>
        </w:rPr>
        <w:t xml:space="preserve"> caratulada </w:t>
      </w:r>
      <w:r>
        <w:rPr>
          <w:b/>
          <w:lang w:val="es-AR" w:eastAsia="es-AR" w:bidi="es-AR"/>
        </w:rPr>
        <w:t xml:space="preserve">"</w:t>
      </w:r>
      <w:r>
        <w:rPr>
          <w:b/>
          <w:color w:val="000000"/>
          <w:lang w:val="es-AR" w:eastAsia="es-AR" w:bidi="es-AR"/>
        </w:rPr>
        <w:t xml:space="preserve">BANCO DE LA PROVINCIA DE BUENOS AIRES  C/ MOGABURO MARCELO GABRIEL S/ COBRO SUMARIO SUMAS DINERO (EXC.ALQUILERES, ETC.)</w:t>
      </w:r>
      <w:r>
        <w:rPr>
          <w:b/>
          <w:lang w:val="es-AR" w:eastAsia="es-AR" w:bidi="es-AR"/>
        </w:rPr>
        <w:t xml:space="preserve">"</w:t>
      </w:r>
      <w:r>
        <w:rPr>
          <w:lang w:val="es-AR" w:eastAsia="es-AR" w:bidi="es-AR"/>
        </w:rPr>
        <w:t xml:space="preserve">, Expte. N° 77.819</w:t>
      </w:r>
      <w:r>
        <w:rPr>
          <w:color w:val="000000"/>
          <w:lang w:val="es-AR" w:eastAsia="es-AR" w:bidi="es-AR"/>
        </w:rPr>
        <w:t xml:space="preserve"> </w:t>
      </w:r>
      <w:r>
        <w:rPr>
          <w:lang w:val="es-AR" w:eastAsia="es-AR" w:bidi="es-AR"/>
        </w:rPr>
        <w:t xml:space="preserve">del Juzgado Civil y Comercail N° 1,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hizo lugar a la demanda instaurada por BANCO DE LA PROVINCIA DE BUENOS AIRES,  condenando en consecuencia al Sr. Marcelo Gabriel Mogaburo a abonar a la parte actora, dentro de los diez días de notificada la presente  la suma de un millón sesenta y un mil trescientos setenta y tres pesos con 24/100 ($1.061.373,24) -equivalentes a 14.757,69 Unidades de Valor Adquisitivo (UVAS)- con más los intereses pactados, a partir de la fecha de mora 30-04-2021. Asimismo condenó también a  abonar la suma de ciento veintiséis mil quinientos treinta y dos Pesos con 48/100 ($126.532,48) con más los intereses pactados, a partir de la fecha de mora 30-04-2021; en todos los casos y hasta su efectivo pago con la salvedad de que se evaluará si los mismos son excesivos y contrarios a la moral y buenas costumbres, en el momento procesal de examinar la liquidación, teniendo en cuenta lo que disponen los arts. 10, 279, 725, 794 y Ccs. del C.C.C.N. Aplicó las costas a la parte demandada que resulta vencida (Art. 68 C.P.C.). Difirió la regulación de honorarios del profesional interviniente y del perito.</w:t>
      </w:r>
    </w:p>
    <w:p>
      <w:pPr>
        <w:pStyle w:val="[Normal]"/>
        <w:spacing w:line="360" w:lineRule="auto"/>
        <w:ind w:firstLine="1134"/>
        <w:jc w:val="both"/>
        <w:rPr>
          <w:lang w:val="es-AR" w:eastAsia="es-AR" w:bidi="es-AR"/>
        </w:rPr>
      </w:pPr>
      <w:r>
        <w:rPr>
          <w:lang w:val="es-AR" w:eastAsia="es-AR" w:bidi="es-AR"/>
        </w:rPr>
        <w:t xml:space="preserve">En disconformidad con lo resuelto apela la parte demandada el 5-2-2025, recurso concedido libremente el 10-2-2025.</w:t>
      </w:r>
    </w:p>
    <w:p>
      <w:pPr>
        <w:pStyle w:val="[Normal]"/>
        <w:spacing w:line="360" w:lineRule="auto"/>
        <w:ind w:firstLine="1134"/>
        <w:jc w:val="both"/>
        <w:rPr>
          <w:lang w:val="es-AR" w:eastAsia="es-AR" w:bidi="es-AR"/>
        </w:rPr>
      </w:pPr>
      <w:r>
        <w:rPr>
          <w:lang w:val="es-AR" w:eastAsia="es-AR" w:bidi="es-AR"/>
        </w:rPr>
        <w:t xml:space="preserve">Ingresados los autos a este organismo el 18-2-2025, ordenándose exprese agravios el 25-2-2025, haciéndolo el 5-3-2025, confiriéndose traslado a la contraparte el 11-3-2025, es contestado el 14-3-2025, dándose vista al Agente Fiscal, siendo evacuada la misma el 26-3-2025, dictándose el llamamiento de autos para sentencia el 1-4-2025, providencia que firme a la fecha deja la causa en condiciones de ser resuelta.</w:t>
      </w:r>
    </w:p>
    <w:p>
      <w:pPr>
        <w:pStyle w:val="[Normal]"/>
        <w:spacing w:line="360" w:lineRule="auto"/>
        <w:ind w:firstLine="1134"/>
        <w:jc w:val="both"/>
        <w:rPr>
          <w:lang w:val="es-AR" w:eastAsia="es-AR" w:bidi="es-AR"/>
        </w:rPr>
      </w:pPr>
      <w:r>
        <w:rPr>
          <w:lang w:val="es-AR" w:eastAsia="es-AR" w:bidi="es-AR"/>
        </w:rPr>
        <w:t xml:space="preserve">La parte demandada comienza su critica en primer término señalando que el juez de la instancia anterior fundó su decisión sobre la premisa de que podía prescindir discrecionalmente de argumentos y pruebas, omitiendo valorar que la carga de acreditar la existencia de los contratos electrónicos invocados correspondía exclusivamente a la actora.</w:t>
      </w:r>
    </w:p>
    <w:p>
      <w:pPr>
        <w:pStyle w:val="[Normal]"/>
        <w:spacing w:line="360" w:lineRule="auto"/>
        <w:ind w:firstLine="1134"/>
        <w:jc w:val="both"/>
        <w:rPr>
          <w:lang w:val="es-AR" w:eastAsia="es-AR" w:bidi="es-AR"/>
        </w:rPr>
      </w:pPr>
      <w:r>
        <w:rPr>
          <w:lang w:val="es-AR" w:eastAsia="es-AR" w:bidi="es-AR"/>
        </w:rPr>
        <w:t xml:space="preserve">En segundo lugar, se agravia de que la sentencia tuvo por acreditada la existencia del crédito en base a la pericia informática y la documental acompañada, cuando aquella resulta deficiente y ésta última fue expresamente desconocida, careciendo en consecuencia de eficacia probatoria.</w:t>
      </w:r>
    </w:p>
    <w:p>
      <w:pPr>
        <w:pStyle w:val="[Normal]"/>
        <w:spacing w:line="360" w:lineRule="auto"/>
        <w:ind w:firstLine="1134"/>
        <w:jc w:val="both"/>
        <w:rPr>
          <w:lang w:val="es-AR" w:eastAsia="es-AR" w:bidi="es-AR"/>
        </w:rPr>
      </w:pPr>
      <w:r>
        <w:rPr>
          <w:lang w:val="es-AR" w:eastAsia="es-AR" w:bidi="es-AR"/>
        </w:rPr>
        <w:t xml:space="preserve">Como tercer agravio, sostiene que el a quo valoró indebidamente la pericia informática y la documental desconocida para tener por acreditados los contratos y la deuda, cuando de la misma no surgen los elementos técnicos y jurídicos que exige la normativa vigente para los contratos digitales.</w:t>
      </w:r>
    </w:p>
    <w:p>
      <w:pPr>
        <w:pStyle w:val="[Normal]"/>
        <w:spacing w:line="360" w:lineRule="auto"/>
        <w:ind w:firstLine="1134"/>
        <w:jc w:val="both"/>
        <w:rPr>
          <w:lang w:val="es-AR" w:eastAsia="es-AR" w:bidi="es-AR"/>
        </w:rPr>
      </w:pPr>
      <w:r>
        <w:rPr>
          <w:lang w:val="es-AR" w:eastAsia="es-AR" w:bidi="es-AR"/>
        </w:rPr>
        <w:t xml:space="preserve">En cuarto término, cuestiona que el juez haya invertido la carga probatoria al exigirle a la demandada acreditar la cancelación de una deuda cuya existencia fue negada desde el inicio, aplicando de manera incorrecta el art. 375 del CPCC.</w:t>
      </w:r>
    </w:p>
    <w:p>
      <w:pPr>
        <w:pStyle w:val="[Normal]"/>
        <w:spacing w:line="360" w:lineRule="auto"/>
        <w:ind w:firstLine="1134"/>
        <w:jc w:val="both"/>
        <w:rPr>
          <w:lang w:val="es-AR" w:eastAsia="es-AR" w:bidi="es-AR"/>
        </w:rPr>
      </w:pPr>
      <w:r>
        <w:rPr>
          <w:lang w:val="es-AR" w:eastAsia="es-AR" w:bidi="es-AR"/>
        </w:rPr>
        <w:t xml:space="preserve">Finalmente, cuestiona  que la sentencia estableció montos, fecha de mora e intereses basándose en una pericia insuficiente y en documentación desconocida, lo que implica una valoración arbitraria e inconsistente de la prueba producida.</w:t>
      </w:r>
    </w:p>
    <w:p>
      <w:pPr>
        <w:pStyle w:val="[Normal]"/>
        <w:spacing w:line="360" w:lineRule="auto"/>
        <w:ind w:firstLine="1134"/>
        <w:jc w:val="both"/>
        <w:rPr>
          <w:lang w:val="es-AR" w:eastAsia="es-AR" w:bidi="es-AR"/>
        </w:rPr>
      </w:pPr>
      <w:r>
        <w:rPr>
          <w:lang w:val="es-AR" w:eastAsia="es-AR" w:bidi="es-AR"/>
        </w:rPr>
        <w:t xml:space="preserve">La contraria al contestar el traslado conferido solicita en primer termino se declare desierto el recurso interpuesto. Como segundo punto rebate los argumentos expuestos por el apelante y peticiona el rechazo del recurso deducido con costas.</w:t>
      </w:r>
    </w:p>
    <w:p>
      <w:pPr>
        <w:pStyle w:val="[Normal]"/>
        <w:spacing w:line="360" w:lineRule="auto"/>
        <w:ind w:firstLine="1134"/>
        <w:jc w:val="both"/>
        <w:rPr>
          <w:lang w:val="es-AR" w:eastAsia="es-AR" w:bidi="es-AR"/>
        </w:rPr>
      </w:pPr>
      <w:r>
        <w:rPr>
          <w:sz w:val="20"/>
          <w:lang w:val="es-AR" w:eastAsia="es-AR" w:bidi="es-AR"/>
        </w:rPr>
        <w:t xml:space="preserve"> </w:t>
      </w:r>
      <w:r>
        <w:rPr>
          <w:lang w:val="es-AR" w:eastAsia="es-AR" w:bidi="es-AR"/>
        </w:rPr>
        <w:t xml:space="preserve">Entrando a resolver y habiendo efectuado un encuadramiento básico de la cuestión sometida a revisión, debo anticipar que existe un denominador común en los agravios formulados por la parte quejosa, cuál es la elevada dosis de generalismo y reiteración. En rigor, el recurrente replantea cuestiones ya propuestas en su escrito inicial y refieren genéricamente a la prueba informática producida sin explicar la específica conexión lógica entre los resultados probatorios arrojados y los argumentos impugnatorios que vienen enarbolar para demostrar los supuestos errores que acusaría la sentencia de grado.</w:t>
      </w:r>
    </w:p>
    <w:p>
      <w:pPr>
        <w:pStyle w:val="[Normal]"/>
        <w:spacing w:line="360" w:lineRule="auto"/>
        <w:ind w:firstLine="1134"/>
        <w:jc w:val="both"/>
        <w:rPr>
          <w:lang w:val="es-AR" w:eastAsia="es-AR" w:bidi="es-AR"/>
        </w:rPr>
      </w:pPr>
      <w:r>
        <w:rPr>
          <w:lang w:val="es-AR" w:eastAsia="es-AR" w:bidi="es-AR"/>
        </w:rPr>
        <w:t xml:space="preserve">Con todo, y sin perjuicio del señalamiento formulado, abriré la instancia recursiva atento a la amplia prevalencia del derecho de defensa (art. 18 del CN), más no sin antes advertir que la debilidad argumental de la crítica ensayada habrá de repercutir indefectiblemente en la suerte de la queja formulada.	</w:t>
        <w:br w:type="textWrapping"/>
      </w:r>
      <w:r>
        <w:rPr>
          <w:lang w:val="es-AR" w:eastAsia="es-AR" w:bidi="es-AR"/>
        </w:rPr>
        <w:t xml:space="preserve">	En tal sentido, se ha dicho que: </w:t>
      </w:r>
      <w:r>
        <w:rPr>
          <w:i/>
          <w:lang w:val="es-AR" w:eastAsia="es-AR" w:bidi="es-AR"/>
        </w:rPr>
        <w:t xml:space="preserve">"La postulación recursiva debe contener crítica, razonada y concreta a los fundamentos en que se basa el fallo y no cumple tal exigencia legal, el escrito que solo vuelca opiniones o desarrollos propios del apelante en el análisis de pruebas de la causa, o reiterando argumentos que fueran atendidos en el fallo cuya revocación pretende no puede ser genérica o indeterminada respecto de las causas que se critican o de los motivos que se pretenden son errados o equívocos; hay que fundar con precisión cada uno de los agravios. El escrito debe ser autosuficiente, que significa encontrar un error de la simple lectura del mismo. Por eso no es bastante el recurso que insiste con remisiones o presentaciones anteriores, o mencionan fojas del expediente que no se explican, ni fundamentan automáticamente lo que pretende decir en sus derivaciones a otras partes del expediente. No obstante los requisitos que debe satisfacer la carga técnica de expresar agravios (arts 260, 261 CPCC), en la materia prevalece un criterio amplio o flexible, en salvaguarda de principios de mayor jerarquía (art 18 Constitucion Nacional arts 11,15 Constitucion de la Provincia de Buenos Aires). Yes así que sin perjuicio de la debilidad de los fundamentos articulados en la expresión de agravios, es necesario su tratamiento si se advierte en ella el mínimo agravio" </w:t>
      </w:r>
      <w:r>
        <w:rPr>
          <w:lang w:val="es-AR" w:eastAsia="es-AR" w:bidi="es-AR"/>
        </w:rPr>
        <w:t xml:space="preserve">(CC0001 SM 54648 RSD-232-4 S 07/07/2004 Juez GALLEGO (SD), Carátula: Pittaluga, Marcelo E. c/Capacci, Mónica Laura y otros s/Cobro ejecutivo).</w:t>
      </w:r>
    </w:p>
    <w:p>
      <w:pPr>
        <w:pStyle w:val="[Normal]"/>
        <w:spacing w:line="360" w:lineRule="auto"/>
        <w:ind w:firstLine="1134"/>
        <w:jc w:val="both"/>
        <w:rPr>
          <w:lang w:val="es-AR" w:eastAsia="es-AR" w:bidi="es-AR"/>
        </w:rPr>
      </w:pPr>
      <w:r>
        <w:rPr>
          <w:lang w:val="es-AR" w:eastAsia="es-AR" w:bidi="es-AR"/>
        </w:rPr>
        <w:t xml:space="preserve">Sentado ello y en lo relativo al agravio que cuestiona la selección y valoración probatoria que ha efectuado el magistrado de primera instancia en la sentencia en crisis, resulta imperioso remarcar que la apreciación de la prueba tiene lugar mediante el empleo de reglas de la experiencia que el operador extrae de todos los campos entendiéndose por reglas de la sana crítica aquellas que son aconsejadas por el buen sentido aplicado con recto criterio, extraídas de la lógica, basadas en la ciencia, en la experiencia y en la observación para discernir lo falso de lo verdadero (SBBA Ac. y Sent. 1959 citado por Morello en "Códigos....T V-A pág. 250). </w:t>
      </w:r>
    </w:p>
    <w:p>
      <w:pPr>
        <w:pStyle w:val="[Normal]"/>
        <w:spacing w:line="360" w:lineRule="auto"/>
        <w:ind w:firstLine="1134"/>
        <w:jc w:val="both"/>
        <w:rPr>
          <w:lang w:val="es-AR" w:eastAsia="es-AR" w:bidi="es-AR"/>
        </w:rPr>
      </w:pPr>
      <w:r>
        <w:rPr>
          <w:lang w:val="es-AR" w:eastAsia="es-AR" w:bidi="es-AR"/>
        </w:rPr>
        <w:t xml:space="preserve">A partir de la normativa prevista en el art. 384 del CPCC y los precedentes aplicados en función de esta regla, se extrae asimismo que la elección de la prueba es facultad privativa del juzgador quien puede seleccionar aquellas que estime relevantes, decidirse por unas descartando las otras que considere inconducentes o inoperantes, por tanto la preferencia respecto de unas no viola las leyes que rigen su valoración. Esas directivas son aplicables a todo medio de prueba traído al proceso.</w:t>
      </w:r>
    </w:p>
    <w:p>
      <w:pPr>
        <w:pStyle w:val="[Normal]"/>
        <w:spacing w:line="360" w:lineRule="auto"/>
        <w:ind w:firstLine="1134"/>
        <w:jc w:val="both"/>
        <w:rPr>
          <w:lang w:val="es-AR" w:eastAsia="es-AR" w:bidi="es-AR"/>
        </w:rPr>
      </w:pPr>
      <w:r>
        <w:rPr>
          <w:lang w:val="es-AR" w:eastAsia="es-AR" w:bidi="es-AR"/>
        </w:rPr>
        <w:t xml:space="preserve">Por otro y en lo referente a la critica ensayada sobre la producción y la ponderación de la pericia informática, se advierte que dada la particularidad sobre la cual se llevó a cabo la vinculación contractual entre las partes, es decir una contratación de un préstamo mediante medios informáticos, la realización de la pericia especifica devino esencial para el desarrollo del presente proceso.</w:t>
      </w:r>
    </w:p>
    <w:p>
      <w:pPr>
        <w:pStyle w:val="[Normal]"/>
        <w:spacing w:line="360" w:lineRule="auto"/>
        <w:ind w:firstLine="1134"/>
        <w:jc w:val="both"/>
        <w:rPr>
          <w:lang w:val="es-AR" w:eastAsia="es-AR" w:bidi="es-AR"/>
        </w:rPr>
      </w:pPr>
      <w:r>
        <w:rPr>
          <w:lang w:val="es-AR" w:eastAsia="es-AR" w:bidi="es-AR"/>
        </w:rPr>
        <w:t xml:space="preserve">En este sentido la producción de la misma por parte del perito Canal en fecha 2-7-2024 y la posterior impugnación del propio quejoso (ver. present. de fecha 8-8-2024) y su respuesta (ver. present. del 28-8-2024) agotaron la posibilidad de revisión ulterior. Por tanto su replanteo en ésta instancia resulta inoficioso por aplicación del principio de preclusión procesal.</w:t>
      </w:r>
    </w:p>
    <w:p>
      <w:pPr>
        <w:pStyle w:val="[Normal]"/>
        <w:spacing w:line="360" w:lineRule="auto"/>
        <w:ind w:firstLine="1134"/>
        <w:jc w:val="both"/>
        <w:rPr>
          <w:lang w:val="es-AR" w:eastAsia="es-AR" w:bidi="es-AR"/>
        </w:rPr>
      </w:pPr>
      <w:r>
        <w:rPr>
          <w:lang w:val="es-AR" w:eastAsia="es-AR" w:bidi="es-AR"/>
        </w:rPr>
        <w:t xml:space="preserve">Al respecto tiene dicho nuestra jurisprudencia que las normas procesales en vigencia, exigen que el dictamen pericial contenga la explicación detallada de las operaciones técnicas realizadas y de los principios científicos en que los peritos funden su opinión; así es que su fuerza de convicción será estimada por el Juez, conforme con la sana crítica, los principios científicos en que se funde y las pruebas y elementos de convicción que la causa tenga (conf. doct., arts. 472 y 477 del CPCC). Por lo demás, cuando el peritaje aparece fundado en principios ténicos y no existe prueba que los desvirtúe, la sana crítica aconseja, frente a la imposibilidad de oponer argumentos científicos de mayor valor, aceptar sus conclusiones (arg. arts. 384, 472 y 474 del CPCC). CC0003 LZ 402 RSD-196-9 S 06/10/2009 Juez ALTIERI (SD).JUBA B3750227.</w:t>
      </w:r>
    </w:p>
    <w:p>
      <w:pPr>
        <w:pStyle w:val="[Normal]"/>
        <w:spacing w:line="360" w:lineRule="auto"/>
        <w:ind w:firstLine="1134"/>
        <w:jc w:val="both"/>
        <w:rPr>
          <w:lang w:val="es-AR" w:eastAsia="es-AR" w:bidi="es-AR"/>
        </w:rPr>
      </w:pPr>
      <w:r>
        <w:rPr>
          <w:lang w:val="es-AR" w:eastAsia="es-AR" w:bidi="es-AR"/>
        </w:rPr>
        <w:t xml:space="preserve">Asimismo y en relación a la preclusión éste Tribunal ha tenido oportunidad de expedirse en el mismo sentido  y he de transcribir en tanto coincidir en un todo lo allí expuesto: "... Además debe tenerse presente  que rige  en este procedimiento el principio de preclusión por el cual una facultad que no es ejercida en tiempo y forma se pierde, pues la preclusión opera como un impedimento o una imposibilidad: la facultad procesal no utilizada, se extingue, impidiendo que se retroceda a etapas procesales agotadas Al respecto se ha dicho que "es  sabido que no ejercida una facultad en tiempo y forma, la  misma  se  pierde  por cuanto la preclusión opera como un impedimento o una imposibilidad: la facultad procesal no utilizada, se extingue".(confr. SCBA, Ac.75777 del 13/6/01 ent. ots.) y "...si una cuestión ha quedado definitivamente resuelta en sentencia firme, no puede ser nuevamente examinada y menos decidida en sentido distinto".( confr.  SCBA,  Ac.92718 del 26/4/06 ent. ots.)." (CAP Causa 191/09, RSD Nº 81/09). De ese principio se deriva el de eventualidad, que importa la necesidad de aprovechar cada ocasión procesal íntegramente empleando en acumulación eventual todos los medios de ataque y defensa de que se disponga -es decir en forma conjunta- para que surtan sus efectos ad omnem eventum, es decir, estar prevenido por si uno o varios de ellos no los producen (Morello.., ob.cit., Tº I, Bs.As. 1982, pág. 621 y ss. ( cfr.  CAP: "Caceres Santa c/ Churin  Héctor y Otro s/  Enriquecimiento sin causa " C: 2298 ).	</w:t>
      </w:r>
    </w:p>
    <w:p>
      <w:pPr>
        <w:pStyle w:val="[Normal]"/>
        <w:spacing w:line="360" w:lineRule="auto"/>
        <w:ind w:firstLine="1134"/>
        <w:jc w:val="both"/>
        <w:rPr>
          <w:lang w:val="es-AR" w:eastAsia="es-AR" w:bidi="es-AR"/>
        </w:rPr>
      </w:pPr>
      <w:r>
        <w:rPr>
          <w:lang w:val="es-AR" w:eastAsia="es-AR" w:bidi="es-AR"/>
        </w:rPr>
        <w:t xml:space="preserve"> Nuestro Máximo Tribunal Provincial ha dicho en reiterados pronunciamientos que " ... La preclusión opera como un impedimento o una imposibilidad de reeditar las cuestiones que ya han sido objeto de tratamiento y resolución anterior la facultad procesal no usada se extingue..." ( SCBA, Ac:  83.721 y en similares sentidos ver Acuerdos: 88.656; 98.315; 75.777, 45.754. 86.633;  100.180; 121394:  119441; 106.650;  121817;  122596 entre muchos otros ).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w:t>
      </w:r>
      <w:r>
        <w:rPr>
          <w:color w:val="0000FF"/>
          <w:lang w:val="es-AR" w:eastAsia="es-AR" w:bidi="es-AR"/>
        </w:rPr>
        <w:t xml:space="preserve"> </w:t>
      </w:r>
      <w:r>
        <w:rPr>
          <w:lang w:val="es-AR" w:eastAsia="es-AR" w:bidi="es-AR"/>
        </w:rPr>
        <w:t xml:space="preserve">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interpuesto y confirmar el fallo atacado.</w:t>
      </w:r>
    </w:p>
    <w:p>
      <w:pPr>
        <w:pStyle w:val="[Normal]"/>
        <w:spacing w:line="360" w:lineRule="auto"/>
        <w:ind w:firstLine="1134"/>
        <w:jc w:val="both"/>
        <w:rPr>
          <w:lang w:val="es-AR" w:eastAsia="es-AR" w:bidi="es-AR"/>
        </w:rPr>
      </w:pPr>
      <w:r>
        <w:rPr>
          <w:lang w:val="es-AR" w:eastAsia="es-AR" w:bidi="es-AR"/>
        </w:rPr>
        <w:t xml:space="preserve">Costas al apelante vencido. (art. 68 y 69 del CPCC). </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interpuesto y confirmar el fallo atacado.</w:t>
      </w:r>
    </w:p>
    <w:p>
      <w:pPr>
        <w:pStyle w:val="[Normal]"/>
        <w:spacing w:line="360" w:lineRule="auto"/>
        <w:ind w:firstLine="1134"/>
        <w:jc w:val="both"/>
        <w:rPr>
          <w:lang w:val="es-AR" w:eastAsia="es-AR" w:bidi="es-AR"/>
        </w:rPr>
      </w:pPr>
      <w:r>
        <w:rPr>
          <w:lang w:val="es-AR" w:eastAsia="es-AR" w:bidi="es-AR"/>
        </w:rPr>
        <w:t xml:space="preserve">Costas al apelante vencido (art. 68 y 69 del CPCC). </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09/09/2025 10:42:01 -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09/09/2025 10:43:13 -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09/09/2025 10:59:55 -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‰7‚")è&amp;b/2-Š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239802090006661518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09/09/2025 11:00:17 hs. bajo el número RS-121-2025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