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5689-25</w:t>
      </w:r>
      <w:r>
        <w:rPr>
          <w:lang w:val="es-AR" w:eastAsia="es-AR" w:bidi="es-AR"/>
        </w:rPr>
        <w:t xml:space="preserve"> caratulada </w:t>
      </w:r>
      <w:r>
        <w:rPr>
          <w:b/>
          <w:lang w:val="es-AR" w:eastAsia="es-AR" w:bidi="es-AR"/>
        </w:rPr>
        <w:t xml:space="preserve">"</w:t>
      </w:r>
      <w:r>
        <w:rPr>
          <w:b/>
          <w:color w:val="000000"/>
          <w:lang w:val="es-AR" w:eastAsia="es-AR" w:bidi="es-AR"/>
        </w:rPr>
        <w:t xml:space="preserve">GONZÁLEZ DANIEL ENRIQUE C/ RUIZ GUILLERMO GERMÁN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87.923</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demanda incoada por Daños y Perjuicios contra el Sr. Guillermo Germán Ruiz y contra la citada en garantía Segurometal Cooperativa de seguros Limitada.  Aplicó las costas a la parte actora, que resulta vencida (art. 68 C.P.C.).  Difirió la regulación de honorarios de los letrados intervinientes y de los peritos,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12-5-2025 por la parte actora, concedido libremente y en efecto suspensivo (14-5-2025).  Elevados los autos a esta Alzada con fecha 29-5-2025 se ordeno expresar agravios a la parte actora, quien el 9-6-2025 los fundó y del mismo traslado el 12-6-2025 a la parte demandada y citada en garantía. El 17-6-2025 fue evacuado dicho traslado.  19-6-2025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recurisva, la parte actora esbozó los siguientes puntos de agravio:</w:t>
      </w:r>
    </w:p>
    <w:p>
      <w:pPr>
        <w:pStyle w:val="[Normal]"/>
        <w:spacing w:line="360" w:lineRule="auto"/>
        <w:ind w:firstLine="1134"/>
        <w:jc w:val="both"/>
        <w:rPr>
          <w:lang w:val="es-AR" w:eastAsia="es-AR" w:bidi="es-AR"/>
        </w:rPr>
      </w:pPr>
      <w:r>
        <w:rPr>
          <w:lang w:val="es-AR" w:eastAsia="es-AR" w:bidi="es-AR"/>
        </w:rPr>
        <w:t xml:space="preserve">1) Atribución exclusiva de culpa a la víctima sin valoración de la concausalidad. El apelante cuestiona que el fallo haya fundado el rechazo de la demanda en la supuesta culpa exclusiva de la víctima, omitiendo todo análisis concausal que ponderara la conducta del conductor del vehículo. Alega que dicha conclusión desatiende la teoría de la concurrencia de culpas, consagrada en el derecho argentino, y se aparta sin fundamento del deber de evaluar las circunstancias fácticas que pudieron haber contribuido de modo concurrente al evento dañoso.</w:t>
      </w:r>
    </w:p>
    <w:p>
      <w:pPr>
        <w:pStyle w:val="[Normal]"/>
        <w:spacing w:line="360" w:lineRule="auto"/>
        <w:ind w:firstLine="1134"/>
        <w:jc w:val="both"/>
        <w:rPr>
          <w:lang w:val="es-AR" w:eastAsia="es-AR" w:bidi="es-AR"/>
        </w:rPr>
      </w:pPr>
      <w:r>
        <w:rPr>
          <w:lang w:val="es-AR" w:eastAsia="es-AR" w:bidi="es-AR"/>
        </w:rPr>
        <w:t xml:space="preserve">2) Infracción a la teoría del riesgo creado y desconocimiento de la responsabilidad objetiva del guardián. Se agravia el actor por cuanto el sentenciante no encuadró jurídicamente la situación conforme a los artículos 1757 y 1758 del Código Civil y Comercial de la Nación, que establecen la responsabilidad objetiva del dueño o guardián por el riesgo o vicio de la cosa. En tal sentido, señala que, en tanto tercero transportado, no pesa sobre él carga alguna de probar la culpa del demandado, siendo suficiente la acreditación del daño y su vinculación con la cosa riesgosa (el vehículo automotor).</w:t>
      </w:r>
    </w:p>
    <w:p>
      <w:pPr>
        <w:pStyle w:val="[Normal]"/>
        <w:spacing w:line="360" w:lineRule="auto"/>
        <w:ind w:firstLine="1134"/>
        <w:jc w:val="both"/>
        <w:rPr>
          <w:lang w:val="es-AR" w:eastAsia="es-AR" w:bidi="es-AR"/>
        </w:rPr>
      </w:pPr>
      <w:r>
        <w:rPr>
          <w:lang w:val="es-AR" w:eastAsia="es-AR" w:bidi="es-AR"/>
        </w:rPr>
        <w:t xml:space="preserve">3) Deficiente valoración de la prueba producida y existencia de absurdo. El recurrente denuncia un apartamiento injustificado de los elementos probatorios obrantes en la causa, en particular: la prueba documental, la ausencia de descargo por parte del conductor (rebeldía en absolución de posiciones), y la mecánica del siniestro. Considera que la decisión es absurda en tanto prescinde de constancias objetivas de la causa y contradice la lógica del razonamiento probatorio, vulnerando el principio de defensa en juicio.</w:t>
      </w:r>
    </w:p>
    <w:p>
      <w:pPr>
        <w:pStyle w:val="[Normal]"/>
        <w:spacing w:line="360" w:lineRule="auto"/>
        <w:ind w:firstLine="1134"/>
        <w:jc w:val="both"/>
        <w:rPr>
          <w:lang w:val="es-AR" w:eastAsia="es-AR" w:bidi="es-AR"/>
        </w:rPr>
      </w:pPr>
      <w:r>
        <w:rPr>
          <w:lang w:val="es-AR" w:eastAsia="es-AR" w:bidi="es-AR"/>
        </w:rPr>
        <w:t xml:space="preserve">4) Omisión de considerar la pérdida de dominio del vehículo como factor desencadenante del hecho desconociendo de tal modo la doctrina legal de la Corte sobre concurrencia causal y reparto de responsabilidad. En virtud de ello, se plantea como agravio que el a quo no haya reconocido que la pérdida de control del rodado por parte del conductor fue el primer elemento causal del siniestro. Afirma el actor que dicha maniobra, motivada por la velocidad excesiva y las malas condiciones del camino, generó una situación de emergencia que justificó la conducta posterior y excluyó la posibilidad de atribuirle culpa exclusiva por las lesiones sufridas.</w:t>
      </w:r>
    </w:p>
    <w:p>
      <w:pPr>
        <w:pStyle w:val="[Normal]"/>
        <w:spacing w:line="360" w:lineRule="auto"/>
        <w:ind w:firstLine="1134"/>
        <w:jc w:val="both"/>
        <w:rPr>
          <w:lang w:val="es-AR" w:eastAsia="es-AR" w:bidi="es-AR"/>
        </w:rPr>
      </w:pPr>
      <w:r>
        <w:rPr>
          <w:lang w:val="es-AR" w:eastAsia="es-AR" w:bidi="es-AR"/>
        </w:rPr>
        <w:t xml:space="preserve">Entrando a resolver, la cuestión sometida a revisión ha quedado establecida en relación a la juridicidad de la absolución del demandado respecto a la pretensión indemnizatoria planteada por la parte actora. Y en particular, en punto a la admisión amplia y total del hecho de la víctima como eximente de responsabilidad y factor excluyente de todo aporte causal endilgable al accionado.</w:t>
      </w:r>
    </w:p>
    <w:p>
      <w:pPr>
        <w:pStyle w:val="[Normal]"/>
        <w:spacing w:line="360" w:lineRule="auto"/>
        <w:ind w:firstLine="1134"/>
        <w:jc w:val="both"/>
        <w:rPr>
          <w:lang w:val="es-AR" w:eastAsia="es-AR" w:bidi="es-AR"/>
        </w:rPr>
      </w:pPr>
      <w:r>
        <w:rPr>
          <w:lang w:val="es-AR" w:eastAsia="es-AR" w:bidi="es-AR"/>
        </w:rPr>
        <w:t xml:space="preserve">En orden al tratamiento de los distintos puntos de agravio, adelanto que asumiré una metodología sistémica y orgánica que agrupe los diversos aspectos críticos según el orden lógico al que responden, y no de acuerdo a la secuencia expositiva en que han sido desarrollados en el escrito de apelación.</w:t>
      </w:r>
    </w:p>
    <w:p>
      <w:pPr>
        <w:pStyle w:val="[Normal]"/>
        <w:spacing w:line="360" w:lineRule="auto"/>
        <w:ind w:firstLine="1134"/>
        <w:jc w:val="both"/>
        <w:rPr>
          <w:lang w:val="es-AR" w:eastAsia="es-AR" w:bidi="es-AR"/>
        </w:rPr>
      </w:pPr>
      <w:r>
        <w:rPr>
          <w:lang w:val="es-AR" w:eastAsia="es-AR" w:bidi="es-AR"/>
        </w:rPr>
        <w:t xml:space="preserve">Ya ingresando en el abordaje del primer y segundo agravio, habré de anticipar que la crítica no puede ser favorablemente receptada.</w:t>
      </w:r>
    </w:p>
    <w:p>
      <w:pPr>
        <w:pStyle w:val="[Normal]"/>
        <w:spacing w:line="360" w:lineRule="auto"/>
        <w:ind w:firstLine="1134"/>
        <w:jc w:val="both"/>
        <w:rPr>
          <w:lang w:val="es-AR" w:eastAsia="es-AR" w:bidi="es-AR"/>
        </w:rPr>
      </w:pPr>
      <w:r>
        <w:rPr>
          <w:lang w:val="es-AR" w:eastAsia="es-AR" w:bidi="es-AR"/>
        </w:rPr>
        <w:t xml:space="preserve">I.- En primer término, corresponde recordar que el magistrado de origen tuvo por verificada la existencia de una situación de emergencia, motivada en una maniobra del conductor derivada del estado deficiente de la calzada. Al mismo tiempo, también concluyó que la causa inmediata y determinante del daño fue la decisión del actor de egresar del vehículo en movimiento, conducta que juzgó jurídicamente relevante como hecho exclusivo del damnificado.</w:t>
      </w:r>
    </w:p>
    <w:p>
      <w:pPr>
        <w:pStyle w:val="[Normal]"/>
        <w:spacing w:line="360" w:lineRule="auto"/>
        <w:ind w:firstLine="1134"/>
        <w:jc w:val="both"/>
        <w:rPr>
          <w:lang w:val="es-AR" w:eastAsia="es-AR" w:bidi="es-AR"/>
        </w:rPr>
      </w:pPr>
      <w:r>
        <w:rPr>
          <w:lang w:val="es-AR" w:eastAsia="es-AR" w:bidi="es-AR"/>
        </w:rPr>
        <w:t xml:space="preserve">Entiendo desde aquí que dicha valoración no resulta arbitraria ni contraria al derecho vigente. </w:t>
      </w:r>
    </w:p>
    <w:p>
      <w:pPr>
        <w:pStyle w:val="[Normal]"/>
        <w:spacing w:line="360" w:lineRule="auto"/>
        <w:ind w:firstLine="1134"/>
        <w:jc w:val="both"/>
        <w:rPr>
          <w:lang w:val="es-AR" w:eastAsia="es-AR" w:bidi="es-AR"/>
        </w:rPr>
      </w:pPr>
      <w:r>
        <w:rPr>
          <w:lang w:val="es-AR" w:eastAsia="es-AR" w:bidi="es-AR"/>
        </w:rPr>
        <w:t xml:space="preserve">Desde la perspectiva del análisis causal,</w:t>
      </w:r>
      <w:r>
        <w:rPr>
          <w:b/>
          <w:lang w:val="es-AR" w:eastAsia="es-AR" w:bidi="es-AR"/>
        </w:rPr>
        <w:t xml:space="preserve"> </w:t>
      </w:r>
      <w:r>
        <w:rPr>
          <w:lang w:val="es-AR" w:eastAsia="es-AR" w:bidi="es-AR"/>
        </w:rPr>
        <w:t xml:space="preserve">cabe distinguir entre el factor ocasional que pudo originar el estado de emergencia y el factor jurídicamente eficaz que explica la producción del daño reclamado. En este caso, la conducta del actor -quien se arrojó o salió del habitáculo del vehículo en plena marcha, sin prueba que acredite un impacto, colisión o vuelco- se presenta como una respuesta sorpresiva, desproporcionada e imprevisible, no exigida por la situación, que en términos jurídicos se asemeja a una consecuencia remota o casual (mediata no previsible) y, por tanto, resulta idónea para interrumpir el nexo causal entre el hecho imputable al demandado y la cosa riesgosa (art. 1726, 1729 y 1757 CCyC). </w:t>
      </w:r>
    </w:p>
    <w:p>
      <w:pPr>
        <w:pStyle w:val="[Normal]"/>
        <w:spacing w:line="360" w:lineRule="auto"/>
        <w:ind w:firstLine="1134"/>
        <w:jc w:val="both"/>
        <w:rPr>
          <w:lang w:val="es-AR" w:eastAsia="es-AR" w:bidi="es-AR"/>
        </w:rPr>
      </w:pPr>
      <w:r>
        <w:rPr>
          <w:lang w:val="es-AR" w:eastAsia="es-AR" w:bidi="es-AR"/>
        </w:rPr>
        <w:t xml:space="preserve">Aun en el marco de la responsabilidad objetiva, la doctrina legal de la SCBA ha reconocido reiteradamente que la conducta de la víctima puede operar como eximente total de responsabilidad, cuando se erige como causa exclusiva o concausa suficiente del daño, conforme a las reglas de la causalidad adecuada. En relación a ello, la Casación provincial ha dicho que: </w:t>
      </w:r>
      <w:r>
        <w:rPr>
          <w:i/>
          <w:lang w:val="es-AR" w:eastAsia="es-AR" w:bidi="es-AR"/>
        </w:rPr>
        <w:t xml:space="preserve">"La interrupción total o parcial del nexo causal entre el hecho y el daño por la actividad de la víctima o un tercero, así como la existencia de las circunstancias fácticas que rodearon o precedieron el accidente son cuestiones de naturaleza fáctico probatoria y, por ende, no pueden obviarse la denuncia y demostración de la ilogicidad de los razonamientos empleados por el juzgador al resolver sobre las mismas" </w:t>
      </w:r>
      <w:r>
        <w:rPr>
          <w:lang w:val="es-AR" w:eastAsia="es-AR" w:bidi="es-AR"/>
        </w:rPr>
        <w:t xml:space="preserve">(SCBA, </w:t>
      </w:r>
      <w:r>
        <w:rPr>
          <w:i/>
          <w:lang w:val="es-AR" w:eastAsia="es-AR" w:bidi="es-AR"/>
        </w:rPr>
        <w:t xml:space="preserve">"U. ,H. R. c/B. ,V. y o. s/Daños y perjuicios"</w:t>
      </w:r>
      <w:r>
        <w:rPr>
          <w:lang w:val="es-AR" w:eastAsia="es-AR" w:bidi="es-AR"/>
        </w:rPr>
        <w:t xml:space="preserve">, 6/9/2006).</w:t>
      </w:r>
    </w:p>
    <w:p>
      <w:pPr>
        <w:pStyle w:val="[Normal]"/>
        <w:spacing w:line="360" w:lineRule="auto"/>
        <w:ind w:firstLine="1134"/>
        <w:jc w:val="both"/>
        <w:rPr>
          <w:lang w:val="es-AR" w:eastAsia="es-AR" w:bidi="es-AR"/>
        </w:rPr>
      </w:pPr>
      <w:r>
        <w:rPr>
          <w:lang w:val="es-AR" w:eastAsia="es-AR" w:bidi="es-AR"/>
        </w:rPr>
        <w:t xml:space="preserve">En este sentido, considero que no resultaba jurídicamente exigible al demandado haber previsto una conducta de esa índole por parte del acompañante. Al respecto, es oportuno observar que la previsibilidad de la conducta del damnificado es un elemento determinante en la subsistencia del nexo causal,</w:t>
      </w:r>
      <w:r>
        <w:rPr>
          <w:b/>
          <w:lang w:val="es-AR" w:eastAsia="es-AR" w:bidi="es-AR"/>
        </w:rPr>
        <w:t xml:space="preserve"> </w:t>
      </w:r>
      <w:r>
        <w:rPr>
          <w:lang w:val="es-AR" w:eastAsia="es-AR" w:bidi="es-AR"/>
        </w:rPr>
        <w:t xml:space="preserve">y que la víctima no puede invocar la creación del riesgo cuando su obrar autónomo lo desencadena. La ruptura de este vínculo</w:t>
      </w:r>
      <w:r>
        <w:rPr>
          <w:b/>
          <w:lang w:val="es-AR" w:eastAsia="es-AR" w:bidi="es-AR"/>
        </w:rPr>
        <w:t xml:space="preserve"> </w:t>
      </w:r>
      <w:r>
        <w:rPr>
          <w:lang w:val="es-AR" w:eastAsia="es-AR" w:bidi="es-AR"/>
        </w:rPr>
        <w:t xml:space="preserve">se verifica cuando el suceso dañoso se produce por una causa independiente, extraordinaria o anómala respecto del comportamiento esperado, y no puede imputarse válidamente al dueño o guardián de la cosa.</w:t>
      </w:r>
    </w:p>
    <w:p>
      <w:pPr>
        <w:pStyle w:val="[Normal]"/>
        <w:spacing w:line="360" w:lineRule="auto"/>
        <w:ind w:firstLine="1134"/>
        <w:jc w:val="both"/>
        <w:rPr>
          <w:lang w:val="es-AR" w:eastAsia="es-AR" w:bidi="es-AR"/>
        </w:rPr>
      </w:pPr>
      <w:r>
        <w:rPr>
          <w:lang w:val="es-AR" w:eastAsia="es-AR" w:bidi="es-AR"/>
        </w:rPr>
        <w:t xml:space="preserve">De la prueba rendida -y en particular, de la ausencia de evidencia que acredite pérdida de dominio con colisión, vuelco, o riesgo cierto e inmediato de impacto- como de la sentencia recurrida -y no apelada en lo relativo a la determinación del entramado fáctico- surge que el actor, frente a un episodio de inestabilidad del vehículo, optó por una salida autónoma que incrementó desmesuradamente el riesgo al que estaba expuesto, sin que tal decisión pueda justificarse como instintiva o inevitable. Su accionar, en consecuencia, quebró el nexo de imputación jurídica entre el evento y la guarda del automotor, y desplazó la responsabilidad hacia su exclusiva esfera de dominio.</w:t>
      </w:r>
    </w:p>
    <w:p>
      <w:pPr>
        <w:pStyle w:val="[Normal]"/>
        <w:spacing w:line="360" w:lineRule="auto"/>
        <w:ind w:firstLine="1134"/>
        <w:jc w:val="both"/>
        <w:rPr>
          <w:lang w:val="es-AR" w:eastAsia="es-AR" w:bidi="es-AR"/>
        </w:rPr>
      </w:pPr>
      <w:r>
        <w:rPr>
          <w:lang w:val="es-AR" w:eastAsia="es-AR" w:bidi="es-AR"/>
        </w:rPr>
        <w:t xml:space="preserve">En relación a lo expuesto, no resulta de recibo la invocación de la jurisprudencia relativa a casos de culpa concurrente, como los citados precedentes "Granillo" y "Quintanilla", desde que en ambos medió una participación objetiva e ineludible del vehículo en la producción del daño (impacto material) y, a su vez, la conducta del damnificado (falta de casco) no introdujo una modificación sustancial en la mecánica de los hechos, sino tan sólo en la mayor extensión de las consecuencias del daño. En el sub-lite, la víctima asumió, en cambio, un protagonismo causal evidente al haberse arrojado literalmente del vehículo poniendo en riesgo su propia integridad en una situación en la que no se había producido ningún tipo de vuelco o colisión que pudiese justificar una respuesta de tan elevado peligro.</w:t>
      </w:r>
    </w:p>
    <w:p>
      <w:pPr>
        <w:pStyle w:val="[Normal]"/>
        <w:spacing w:line="360" w:lineRule="auto"/>
        <w:ind w:firstLine="1134"/>
        <w:jc w:val="both"/>
        <w:rPr>
          <w:lang w:val="es-AR" w:eastAsia="es-AR" w:bidi="es-AR"/>
        </w:rPr>
      </w:pPr>
      <w:r>
        <w:rPr>
          <w:lang w:val="es-AR" w:eastAsia="es-AR" w:bidi="es-AR"/>
        </w:rPr>
        <w:t xml:space="preserve">Desde otra óptica, tampoco puedo pasar por alto que el apelante no ha cuestionado en forma directa y puntual la premisa fáctica establecida por el a quo, relativa a que la decisión de egresar del vehículo fue adoptada voluntariamente por el actor. Con todo, en su memorial de agravios, el recurrente introdujo una versión alternativa de los hechos, afirmando que habría salido despedido del automóvil y no que se arrojó del mismo. Este desacople discursivo, que no va acompañado de una crítica específica a la base fáctica de la sentencia, evidencia una deficiencia sustancial del agravio, en tanto prescinde del presupuesto fáctico sobre el cual se estructura el fallo y pretende reintroducir por vía indirecta una plataforma que no fue acreditada en autos ni reconocida por el juzgador de grado. Tal forma de impugnación vulnera el principio de congruencia y debilita la eficacia de la crítica, pues se edifica sobre una construcción que no fue acogida en primera instancia ni desarrollada adecuadamente como punto de disenso.</w:t>
      </w:r>
    </w:p>
    <w:p>
      <w:pPr>
        <w:pStyle w:val="[Normal]"/>
        <w:spacing w:line="360" w:lineRule="auto"/>
        <w:ind w:firstLine="1134"/>
        <w:jc w:val="both"/>
        <w:rPr>
          <w:lang w:val="es-AR" w:eastAsia="es-AR" w:bidi="es-AR"/>
        </w:rPr>
      </w:pPr>
      <w:r>
        <w:rPr>
          <w:lang w:val="es-AR" w:eastAsia="es-AR" w:bidi="es-AR"/>
        </w:rPr>
        <w:t xml:space="preserve">Al respecto, la Cámara de Apelaciones en lo Civil y Comercial de San Martín ha sostenido que el cuestionamiento de los hechos tenidos por cierto en la sentencia apelada constituye una condición de fundabilidad ineludible de la expresión de agravios toda vez que la discrepancia alcanza a la secuencia fáctica del caso. En efecto, los magistrados del nombrado tribunal puntualizaron que: </w:t>
      </w:r>
      <w:r>
        <w:rPr>
          <w:i/>
          <w:lang w:val="es-AR" w:eastAsia="es-AR" w:bidi="es-AR"/>
        </w:rPr>
        <w:t xml:space="preserve">"Para ser técnica o formalmente idóneo el sustento de la apelación, debe trasuntar un ataque pertinente, razonado y suficiente del sustento fáctico y jurídico del pronunciamiento recurrido: pertinente, por cuanto debe apuntar a las consideraciones o razonamiento que constituyen el verdadero sostén del fallo; razonado, es decir explicitado mediante una argumentación crítica y fundada de los motivos por los que se estima que el decisorio resulta injusto o contrario a derecho; suficiente o trascendente, que involucre la totalidad del respaldo jurídico-legal soporte de lo decidido, de modo que no subsista ninguna razón o motivo que pueda, de manera individual o independiente, sostener válidamente la resolución atacada"</w:t>
      </w:r>
      <w:r>
        <w:rPr>
          <w:lang w:val="es-AR" w:eastAsia="es-AR" w:bidi="es-AR"/>
        </w:rPr>
        <w:t xml:space="preserve"> (Cámara de Apelaciones en lo Civil y Comercial de San Martín, "ALCAJE MELISA ESTER C/ PIZARRO ENRIQUE FABIÁN S/ALIMENTOS", 15/12/2015). </w:t>
      </w:r>
    </w:p>
    <w:p>
      <w:pPr>
        <w:pStyle w:val="[Normal]"/>
        <w:spacing w:line="360" w:lineRule="auto"/>
        <w:ind w:firstLine="1134"/>
        <w:jc w:val="both"/>
        <w:rPr>
          <w:lang w:val="es-AR" w:eastAsia="es-AR" w:bidi="es-AR"/>
        </w:rPr>
      </w:pPr>
      <w:r>
        <w:rPr>
          <w:lang w:val="es-AR" w:eastAsia="es-AR" w:bidi="es-AR"/>
        </w:rPr>
        <w:t xml:space="preserve">A su vez, cabe descartar que la alegada incomparecencia del demandado a la audiencia de absolución de posiciones, y la consiguiente ficción legal de reconocimiento de los hechos afirmados por el actor, altere la solidez del razonamiento judicial. Ello así, por cuanto la doctrina legal y la jurisprudencia han precisado que la confesional en rebeldía carece de eficacia probatoria plena cuando versa sobre hechos que no resultan verosímiles, que se oponen a otras constancias del proceso, o que pretenden suplir prueba objetiva en cuestiones donde se requiere una acreditación más robusta. En este caso, la afirmación de que el actor habría sido despedido del vehículo carece de respaldo en elementos independientes y suficientes, por lo que la rebeldía del demandado no puede constituir, por sí sola, fundamento bastante para alterar la valoración probatoria realizada por el sentenciante.</w:t>
      </w:r>
    </w:p>
    <w:p>
      <w:pPr>
        <w:pStyle w:val="[Normal]"/>
        <w:spacing w:line="360" w:lineRule="auto"/>
        <w:ind w:firstLine="1134"/>
        <w:jc w:val="both"/>
        <w:rPr>
          <w:lang w:val="es-AR" w:eastAsia="es-AR" w:bidi="es-AR"/>
        </w:rPr>
      </w:pPr>
      <w:r>
        <w:rPr>
          <w:lang w:val="es-AR" w:eastAsia="es-AR" w:bidi="es-AR"/>
        </w:rPr>
        <w:t xml:space="preserve">Sobre este punto, el Alto Tribunal bonaerense ha dicho que: "</w:t>
      </w:r>
      <w:r>
        <w:rPr>
          <w:i/>
          <w:lang w:val="es-AR" w:eastAsia="es-AR" w:bidi="es-AR"/>
        </w:rPr>
        <w:t xml:space="preserve">El valor probatorio de la prueba confesional, debe apreciarse en su correlación con el resto de las pruebas atendiendo a las circunstancias de la causa, pues de lo contrario se haría prevalecer la ficción sobre la realidad y la decisión podría alejarse de la verdad material</w:t>
      </w:r>
      <w:r>
        <w:rPr>
          <w:lang w:val="es-AR" w:eastAsia="es-AR" w:bidi="es-AR"/>
        </w:rPr>
        <w:t xml:space="preserve"> </w:t>
      </w:r>
      <w:r>
        <w:rPr>
          <w:i/>
          <w:lang w:val="es-AR" w:eastAsia="es-AR" w:bidi="es-AR"/>
        </w:rPr>
        <w:t xml:space="preserve">(art. 421 del C.P.C.C.)"</w:t>
      </w:r>
      <w:r>
        <w:rPr>
          <w:lang w:val="es-AR" w:eastAsia="es-AR" w:bidi="es-AR"/>
        </w:rPr>
        <w:t xml:space="preserve">.(SCBA LP C 121756 S 13/06/2018 - SCBA LP C 120925 S 06/12/2017, entre otras, Sumario juba: B3902976).</w:t>
      </w:r>
    </w:p>
    <w:p>
      <w:pPr>
        <w:pStyle w:val="[Normal]"/>
        <w:spacing w:line="360" w:lineRule="auto"/>
        <w:ind w:firstLine="1134"/>
        <w:jc w:val="both"/>
        <w:rPr>
          <w:lang w:val="es-AR" w:eastAsia="es-AR" w:bidi="es-AR"/>
        </w:rPr>
      </w:pPr>
      <w:r>
        <w:rPr>
          <w:lang w:val="es-AR" w:eastAsia="es-AR" w:bidi="es-AR"/>
        </w:rPr>
        <w:t xml:space="preserve">En conclusión, no se advierte error valorativo ni apartamiento de los principios rectores de la responsabilidad civil en la solución de grado. Por el contrario, la sentencia apelada se ajusta a derecho, en tanto reconoce la existencia del hecho, pero niega la procedencia del reclamo por ausencia de nexo causal atribuible al demandado, en virtud de la conducta imprevisible, voluntaria y determinante del propio damnificado. Corresponde, por tanto, rechazar sendos agravio.</w:t>
      </w:r>
    </w:p>
    <w:p>
      <w:pPr>
        <w:pStyle w:val="[Normal]"/>
        <w:spacing w:line="360" w:lineRule="auto"/>
        <w:ind w:firstLine="1134"/>
        <w:jc w:val="both"/>
        <w:rPr>
          <w:lang w:val="es-AR" w:eastAsia="es-AR" w:bidi="es-AR"/>
        </w:rPr>
      </w:pPr>
      <w:r>
        <w:rPr>
          <w:lang w:val="es-AR" w:eastAsia="es-AR" w:bidi="es-AR"/>
        </w:rPr>
        <w:t xml:space="preserve">II.- El agravio relativo a la alegada deficiente valoración probatoria no puede prosperar.</w:t>
      </w:r>
    </w:p>
    <w:p>
      <w:pPr>
        <w:pStyle w:val="[Normal]"/>
        <w:spacing w:line="360" w:lineRule="auto"/>
        <w:ind w:firstLine="1134"/>
        <w:jc w:val="both"/>
        <w:rPr>
          <w:lang w:val="es-AR" w:eastAsia="es-AR" w:bidi="es-AR"/>
        </w:rPr>
      </w:pPr>
      <w:r>
        <w:rPr>
          <w:lang w:val="es-AR" w:eastAsia="es-AR" w:bidi="es-AR"/>
        </w:rPr>
        <w:t xml:space="preserve">En efecto, el apelante sostiene que la sentencia ha incurrido en absurdo por apartarse injustificadamente del conjunto de pruebas rendidas, en especial de la prueba documental, la incomparecencia del demandado a la audiencia de absolución de posiciones, y la supuesta mecánica del siniestro que habría quedado acreditada. Sin embargo, tal afirmación no encuentra respaldo suficiente ni en el contenido del expediente ni en la fundamentación del recurso.</w:t>
      </w:r>
    </w:p>
    <w:p>
      <w:pPr>
        <w:pStyle w:val="[Normal]"/>
        <w:spacing w:line="360" w:lineRule="auto"/>
        <w:ind w:firstLine="1134"/>
        <w:jc w:val="both"/>
        <w:rPr>
          <w:lang w:val="es-AR" w:eastAsia="es-AR" w:bidi="es-AR"/>
        </w:rPr>
      </w:pPr>
      <w:r>
        <w:rPr>
          <w:lang w:val="es-AR" w:eastAsia="es-AR" w:bidi="es-AR"/>
        </w:rPr>
        <w:t xml:space="preserve">En primer lugar, corresponde recordar que el apartamiento del juez respecto de ciertas pruebas no constituye absurdo per se, en tanto se funde en una valoración razonada, coherente y global del material probatorio. La Suprema Corte bonaerense ha sostenido reiteradamente que la tacha de absurdo exige demostrar una fractura en la lógica del razonamiento judicial o una conclusión inconciliable con las constancias objetivas de la causa . Tal vicio no se configura por la mera discrepancia del recurrente con la forma en que el juez ha ponderado las pruebas disponibles, sino por la demostración concreta de que se han omitido elementos decisivos de manera irrazonable. En este sentido, el Alto Tribunal provincial afirmó que: </w:t>
      </w:r>
      <w:r>
        <w:rPr>
          <w:i/>
          <w:lang w:val="es-AR" w:eastAsia="es-AR" w:bidi="es-AR"/>
        </w:rPr>
        <w:t xml:space="preserve">"No cualquier disentimiento autoriza a tener por acreditado ese vicio, ni tampoco puede este Tribunal sustituir con su propio criterio al de los jueces de mérito, ya que el absurdo no queda configurado aún cuando el criterio del sentenciante pueda ser calificado de objetable, discutible o poco convincente, porque se requiere algo más: el error grave, grosero y manifiesto que conduzca a conclusiones inconciliables con las constancias de la causa (conf. Ac. 87.026, sent. del 16-VI-2004; Ac. 86.829, sent. del 7-III-2005; Ac. 90.072, sent. del 9-VIII-2006; C. 73.725, sent. del 19-XII-2007), extremo que no encuentro verificado en la especie"</w:t>
      </w:r>
      <w:r>
        <w:rPr>
          <w:lang w:val="es-AR" w:eastAsia="es-AR" w:bidi="es-AR"/>
        </w:rPr>
        <w:t xml:space="preserve"> (SCBA, "Avalos, Juan Ramon c/HospitalProfesor Bernardo Houssay y Municipalidad de Vicente López s/Daños y perjuicios", 24/6/2009).</w:t>
      </w:r>
    </w:p>
    <w:p>
      <w:pPr>
        <w:pStyle w:val="[Normal]"/>
        <w:spacing w:line="360" w:lineRule="auto"/>
        <w:ind w:firstLine="1134"/>
        <w:jc w:val="both"/>
        <w:rPr>
          <w:lang w:val="es-AR" w:eastAsia="es-AR" w:bidi="es-AR"/>
        </w:rPr>
      </w:pPr>
      <w:r>
        <w:rPr>
          <w:lang w:val="es-AR" w:eastAsia="es-AR" w:bidi="es-AR"/>
        </w:rPr>
        <w:t xml:space="preserve">En el caso, el a quo ha expuesto de modo claro las razones por las cuales atribuyó relevancia a la conducta del actor como factor exclusivo del daño, y descartó que el estado de la ruta o el obrar del conductor configuraran concausas determinantes. El razonamiento se apoya en la falta de evidencia de una colisión o vuelco y en la ausencia de prueba concluyente que permita afirmar que la conducta del damnificado fue inevitable. Estas conclusiones no lucen arbitrarias ni desligadas de las constancias de autos. A saber: la pericia mecánica producida en fecha 26/09/2023 de la cual surge que:</w:t>
      </w:r>
      <w:r>
        <w:rPr>
          <w:i/>
          <w:lang w:val="es-AR" w:eastAsia="es-AR" w:bidi="es-AR"/>
        </w:rPr>
        <w:t xml:space="preserve"> "(...) a) En las fotografías adjuntas no se observan daños producto de alguna acción de vuelco, tumbos, embestimiento o colisión alguna"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Respecto a la rebeldía en la absolución de posiciones del codemandado, cabe recordar que su eficacia probatoria es relativa y debe apreciarse en el contexto general del proceso. La falta de respuesta en sede confesional no implica una admisión automática de hechos cuando éstos resultan inverosímiles o no verificados por otros medios probatorios (conf. SCBA, Ac. 57.637; 80.535). En particular, no basta con esa rebeldía para tener por acreditada una mecánica del accidente incompatible con el resto del acervo probatorio.</w:t>
      </w:r>
    </w:p>
    <w:p>
      <w:pPr>
        <w:pStyle w:val="[Normal]"/>
        <w:spacing w:line="360" w:lineRule="auto"/>
        <w:ind w:firstLine="1134"/>
        <w:jc w:val="both"/>
        <w:rPr>
          <w:lang w:val="es-AR" w:eastAsia="es-AR" w:bidi="es-AR"/>
        </w:rPr>
      </w:pPr>
      <w:r>
        <w:rPr>
          <w:lang w:val="es-AR" w:eastAsia="es-AR" w:bidi="es-AR"/>
        </w:rPr>
        <w:t xml:space="preserve">Asimismo, el apelante no ha señalado con precisión qué documentos concretos fueron desatendidos ni ha explicado de qué manera tales elementos impondrían una solución distinta. Su planteo resulta genérico y no alcanza a desvirtuar el núcleo argumental de la sentencia.</w:t>
      </w:r>
    </w:p>
    <w:p>
      <w:pPr>
        <w:pStyle w:val="[Normal]"/>
        <w:spacing w:line="360" w:lineRule="auto"/>
        <w:ind w:firstLine="1134"/>
        <w:jc w:val="both"/>
        <w:rPr>
          <w:lang w:val="es-AR" w:eastAsia="es-AR" w:bidi="es-AR"/>
        </w:rPr>
      </w:pPr>
      <w:r>
        <w:rPr>
          <w:lang w:val="es-AR" w:eastAsia="es-AR" w:bidi="es-AR"/>
        </w:rPr>
        <w:t xml:space="preserve">Por todo lo expuesto, no se advierte que el fallo haya incurrido en absurdo ni que haya vulnerado la garantía de defensa en juicio. La valoración probatoria se encuentra debidamente motivada y se ajusta a los estándares exigibles en el marco de la función jurisdiccional. En consecuencia, el agravio debe ser rechazado.</w:t>
      </w:r>
    </w:p>
    <w:p>
      <w:pPr>
        <w:pStyle w:val="[Normal]"/>
        <w:spacing w:line="360" w:lineRule="auto"/>
        <w:ind w:firstLine="1134"/>
        <w:jc w:val="both"/>
        <w:rPr>
          <w:lang w:val="es-AR" w:eastAsia="es-AR" w:bidi="es-AR"/>
        </w:rPr>
      </w:pPr>
      <w:r>
        <w:rPr>
          <w:lang w:val="es-AR" w:eastAsia="es-AR" w:bidi="es-AR"/>
        </w:rPr>
        <w:t xml:space="preserve">III.- Por su parte, el agravio que denuncia la omisión de considerar la pérdida de dominio del vehículo como factor desencadenante del hecho tampoco puede prosperar.</w:t>
      </w:r>
    </w:p>
    <w:p>
      <w:pPr>
        <w:pStyle w:val="[Normal]"/>
        <w:spacing w:line="360" w:lineRule="auto"/>
        <w:ind w:firstLine="1134"/>
        <w:jc w:val="both"/>
        <w:rPr>
          <w:lang w:val="es-AR" w:eastAsia="es-AR" w:bidi="es-AR"/>
        </w:rPr>
      </w:pPr>
      <w:r>
        <w:rPr>
          <w:lang w:val="es-AR" w:eastAsia="es-AR" w:bidi="es-AR"/>
        </w:rPr>
        <w:t xml:space="preserve">Sostiene el apelante que el sentenciante de grado desatendió la incidencia causal del obrar del conductor, al no valorar que la pérdida de control del rodado fue el primer eslabón en la cadena de hechos que culminó con las lesiones sufridas, y que dicho episodio -según alega- generó una situación de emergencia que justificaría la conducta posterior del actor.  	 	Sin embargo, tales afirmaciones no logran conmover los fundamentos centrales del fallo apelado.</w:t>
      </w:r>
    </w:p>
    <w:p>
      <w:pPr>
        <w:pStyle w:val="[Normal]"/>
        <w:spacing w:line="360" w:lineRule="auto"/>
        <w:ind w:firstLine="1134"/>
        <w:jc w:val="both"/>
        <w:rPr>
          <w:lang w:val="es-AR" w:eastAsia="es-AR" w:bidi="es-AR"/>
        </w:rPr>
      </w:pPr>
      <w:r>
        <w:rPr>
          <w:lang w:val="es-AR" w:eastAsia="es-AR" w:bidi="es-AR"/>
        </w:rPr>
        <w:t xml:space="preserve">En primer lugar, corresponde señalar que el juzgador sí se pronunció expresamente sobre la existencia de una situación de emergencia, pero concluyó que la misma no justificaba el obrar del actor, en tanto éste se arrojó del vehículo en movimiento en circunstancias que no se revelaban objetivamente como de impacto inevitable. Es decir, no se ignoró la maniobra del conductor ni se descartó que hubiera habido un episodio de inestabilidad. Lo que se juzgó fue que dicha situación no resultaba suficiente, en el contexto probado, para explicar la conducta extrema adoptada por la víctima.</w:t>
      </w:r>
    </w:p>
    <w:p>
      <w:pPr>
        <w:pStyle w:val="[Normal]"/>
        <w:spacing w:line="360" w:lineRule="auto"/>
        <w:ind w:firstLine="1134"/>
        <w:jc w:val="both"/>
        <w:rPr>
          <w:lang w:val="es-AR" w:eastAsia="es-AR" w:bidi="es-AR"/>
        </w:rPr>
      </w:pPr>
      <w:r>
        <w:rPr>
          <w:lang w:val="es-AR" w:eastAsia="es-AR" w:bidi="es-AR"/>
        </w:rPr>
        <w:t xml:space="preserve">Desde la perspectiva de la causalidad jurídica, la sentencia -como hemos referido en el punto I- distingue adecuadamente entre el antecedente fáctico del episodio (pérdida de dominio) y la causa jurídicamente relevante del daño (egreso voluntario del vehículo). Esta distinción se enmarca en la aplicación del principio de causalidad adecuada, conforme al cual únicamente deben imputarse las consecuencias que se derivan de manera previsible y directa de la conducta del demandado, excluyendo aquellas que se vinculan con el obrar autónomo y desproporcionado del damnificado (arts. 1726, 1727 y 1757 CCyC).</w:t>
      </w:r>
    </w:p>
    <w:p>
      <w:pPr>
        <w:pStyle w:val="[Normal]"/>
        <w:spacing w:line="360" w:lineRule="auto"/>
        <w:ind w:firstLine="1134"/>
        <w:jc w:val="both"/>
        <w:rPr>
          <w:lang w:val="es-AR" w:eastAsia="es-AR" w:bidi="es-AR"/>
        </w:rPr>
      </w:pPr>
      <w:r>
        <w:rPr>
          <w:lang w:val="es-AR" w:eastAsia="es-AR" w:bidi="es-AR"/>
        </w:rPr>
        <w:t xml:space="preserve">Aun admitiendo que la maniobra del conductor haya sido torpe o imprudente, lo cierto es que no se acreditó que el automotor estuviera en inminente riesgo de colisión, vuelco o impacto, ni que el actor se encontrara frente a un peligro tan extremo que hiciera inevitable su decisión de egresar del rodado. 	</w:t>
        <w:br w:type="textWrapping"/>
      </w:r>
      <w:r>
        <w:rPr>
          <w:lang w:val="es-AR" w:eastAsia="es-AR" w:bidi="es-AR"/>
        </w:rPr>
        <w:t xml:space="preserve"> 	Con precisión técnica, cabe desestimar entonces que el fallo haya desconocido la doctrina legal sobre concurrencia de culpas. Por el contrario, la excluyó fundadamente, al considerar que el obrar del actor fue suficiente por sí mismo para causar el daño, desplazando toda posibilidad de imputación al demandado. Esta solución, lejos de ser dogmática o infundada, encuentra sustento en los principios rectores de la responsabilidad civil objetiva y en el análisis fáctico integral de la causa.</w:t>
      </w:r>
    </w:p>
    <w:p>
      <w:pPr>
        <w:pStyle w:val="[Normal]"/>
        <w:spacing w:line="360" w:lineRule="auto"/>
        <w:ind w:firstLine="1134"/>
        <w:jc w:val="both"/>
        <w:rPr>
          <w:lang w:val="es-AR" w:eastAsia="es-AR" w:bidi="es-AR"/>
        </w:rPr>
      </w:pPr>
      <w:r>
        <w:rPr>
          <w:lang w:val="es-AR" w:eastAsia="es-AR" w:bidi="es-AR"/>
        </w:rPr>
        <w:t xml:space="preserve">En consecuencia, no se advierte en la sentencia apelada omisión valorativa ni error en la aplicación del derecho, por lo que el agravio debe ser rechazado.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 actora vencida (art.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 actora vencida (art.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20243296030@NOTIFICACIONES.SCBA.GOV.AR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27308777966@NOTIFICACIONES.SCBA.GOV.AR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16/09/2025 10:26:22 -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16/09/2025 10:31:07 -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16/09/2025 11:00:22 -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‰8#")è&amp;^E;UŠ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240302090006623727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16/09/2025 11:00:44 hs. bajo el número RS-122-2025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