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5688-25</w:t>
      </w:r>
      <w:r>
        <w:rPr>
          <w:lang w:val="es-AR" w:eastAsia="es-AR" w:bidi="es-AR"/>
        </w:rPr>
        <w:t xml:space="preserve"> caratulada </w:t>
      </w:r>
      <w:r>
        <w:rPr>
          <w:b/>
          <w:lang w:val="es-AR" w:eastAsia="es-AR" w:bidi="es-AR"/>
        </w:rPr>
        <w:t xml:space="preserve">"</w:t>
      </w:r>
      <w:r>
        <w:rPr>
          <w:b/>
          <w:color w:val="000000"/>
          <w:lang w:val="es-AR" w:eastAsia="es-AR" w:bidi="es-AR"/>
        </w:rPr>
        <w:t xml:space="preserve">PAVESE STELLA MARIS C/ COOPERACIÓN SEGUROS  Y OTROS S/ DAÑOS Y PERJ.AUTOM. C/LES. O MUERTE (EXC.ESTADO)</w:t>
      </w:r>
      <w:r>
        <w:rPr>
          <w:b/>
          <w:lang w:val="es-AR" w:eastAsia="es-AR" w:bidi="es-AR"/>
        </w:rPr>
        <w:t xml:space="preserve">"</w:t>
      </w:r>
      <w:r>
        <w:rPr>
          <w:lang w:val="es-AR" w:eastAsia="es-AR" w:bidi="es-AR"/>
        </w:rPr>
        <w:t xml:space="preserve">, Expte. N° 87065 del Juzgado Civil y Comercial N° 1</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rechazó la demanda articulada por la parte actora Sra. Stella Maris Pavese, con costas por resultar vencida. Difirió la regulación de honorarios de los letrados intervinientes y de los peritos, hasta que medie firme la respectiva liquidación de intereses y gastos.</w:t>
      </w:r>
    </w:p>
    <w:p>
      <w:pPr>
        <w:pStyle w:val="[Normal]"/>
        <w:spacing w:line="360" w:lineRule="auto"/>
        <w:ind w:firstLine="1134"/>
        <w:jc w:val="both"/>
        <w:rPr>
          <w:lang w:val="es-AR" w:eastAsia="es-AR" w:bidi="es-AR"/>
        </w:rPr>
      </w:pPr>
      <w:r>
        <w:rPr>
          <w:lang w:val="es-AR" w:eastAsia="es-AR" w:bidi="es-AR"/>
        </w:rPr>
        <w:t xml:space="preserve">Disconforme con lo resuelto apela la parte actora el 5-5-2025, recurso concedido libremente el 6-5-2025.</w:t>
      </w:r>
    </w:p>
    <w:p>
      <w:pPr>
        <w:pStyle w:val="[Normal]"/>
        <w:spacing w:line="360" w:lineRule="auto"/>
        <w:ind w:firstLine="1134"/>
        <w:jc w:val="both"/>
        <w:rPr>
          <w:lang w:val="es-AR" w:eastAsia="es-AR" w:bidi="es-AR"/>
        </w:rPr>
      </w:pPr>
      <w:r>
        <w:rPr>
          <w:lang w:val="es-AR" w:eastAsia="es-AR" w:bidi="es-AR"/>
        </w:rPr>
        <w:t xml:space="preserve">Arribados los autos a esta Alzada el 21-5-2025, ordenando exprese agravios el 3-6-2025, efectuándolo el 17-6-2025, confiriéndose traslado del memorial a la contraparte el 19-6-2025, es contestado el 23-6-2025 por la citada en garantía y no habiendo la demandada evacuado el traslado conferido se le dio por perdido el derecho que dejado de usar, llamándose autos para sentencia en fecha 3-7-2025,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 Se agravia la recurrente ante el rechazo de la demanda, por entender el sentenciante que existió culpa exclusiva de su parte en la producción del siniestro, y de esa manera le ha  vedado el derecho a obtener la reparación por los daños físicos y morales sufridos, en base a una conclusión sin apoyatura legal. </w:t>
      </w:r>
    </w:p>
    <w:p>
      <w:pPr>
        <w:pStyle w:val="[Normal]"/>
        <w:spacing w:line="360" w:lineRule="auto"/>
        <w:ind w:firstLine="1134"/>
        <w:jc w:val="both"/>
        <w:rPr>
          <w:lang w:val="es-AR" w:eastAsia="es-AR" w:bidi="es-AR"/>
        </w:rPr>
      </w:pPr>
      <w:r>
        <w:rPr>
          <w:lang w:val="es-AR" w:eastAsia="es-AR" w:bidi="es-AR"/>
        </w:rPr>
        <w:t xml:space="preserve">Denuncia absurdo en la apreciación de los hechos y de la prueba. aduce que el encuadre jurídico de la pretensión actoral se halla establecido en el art. 1708 que rige en materia de responsabilidad civil en accidentes de tránsito, quedando acreditado en la presente que la responsabilidad es de carácter objetiva, y así lo establecen los arts. 1757 y 1758 del CCCN, señalando además que la demandada fue declarada rebelde en el proceso el 24/11/2023, conducta procesal no contemplada en el fallo por el aquo.</w:t>
      </w:r>
    </w:p>
    <w:p>
      <w:pPr>
        <w:pStyle w:val="[Normal]"/>
        <w:spacing w:line="360" w:lineRule="auto"/>
        <w:ind w:firstLine="1134"/>
        <w:jc w:val="both"/>
        <w:rPr>
          <w:lang w:val="es-AR" w:eastAsia="es-AR" w:bidi="es-AR"/>
        </w:rPr>
      </w:pPr>
      <w:r>
        <w:rPr>
          <w:lang w:val="es-AR" w:eastAsia="es-AR" w:bidi="es-AR"/>
        </w:rPr>
        <w:t xml:space="preserve">Relata que el día del siniestro, se disponía a cruzar la avenida Rocha siendo embestida por el vehículo de la demandada, sufriendo lesiones graves, permaneciendo inmovilizada por más de un año, siendo sometido a varias intervenciones quirúrgicas, y sufriendo secuelas incapacitantes que se hallan acreditadas en autos. Señala que se han de probar los presupuestos de dicha responsabilidad: a) el daño; b) la relación causal entre el daño y la cosa; c) el riesgo o vicio de la cosa; y d) la calidad de dueño o guardián". </w:t>
      </w:r>
    </w:p>
    <w:p>
      <w:pPr>
        <w:pStyle w:val="[Normal]"/>
        <w:spacing w:line="360" w:lineRule="auto"/>
        <w:ind w:firstLine="1134"/>
        <w:jc w:val="both"/>
        <w:rPr>
          <w:lang w:val="es-AR" w:eastAsia="es-AR" w:bidi="es-AR"/>
        </w:rPr>
      </w:pPr>
      <w:r>
        <w:rPr>
          <w:lang w:val="es-AR" w:eastAsia="es-AR" w:bidi="es-AR"/>
        </w:rPr>
        <w:t xml:space="preserve">Reseña que el día del hecho fue de compras al Market, ubicado frente a su domicilio, y luego emprendió el cruce hacia su casa. cerciorándose que no hubiera riesgo alguno. Los vehículos estaban parados por la luz roja del semáforo y cruzó lentamente, con sumo cuidado y precaución pero ya casi traspuesta la avenida aparece el vehículo de la demandada Acuña, se presenta en su carril y la embiste, de manera imprevista, negligente, sorpresiva acelerando el rodado y habiendo verificado su presencia en el carril de marcha. La demandada reconoció haberla embestido al contestar la demanda, esgrimiendo un cruce de manera “alocada”, lo que no se ha probado. Cita abundante doctrina y jurisprudencia de aplicación.</w:t>
      </w:r>
    </w:p>
    <w:p>
      <w:pPr>
        <w:pStyle w:val="[Normal]"/>
        <w:spacing w:line="360" w:lineRule="auto"/>
        <w:ind w:firstLine="1134"/>
        <w:jc w:val="both"/>
        <w:rPr>
          <w:lang w:val="es-AR" w:eastAsia="es-AR" w:bidi="es-AR"/>
        </w:rPr>
      </w:pPr>
      <w:r>
        <w:rPr>
          <w:lang w:val="es-AR" w:eastAsia="es-AR" w:bidi="es-AR"/>
        </w:rPr>
        <w:t xml:space="preserve">Hace reserva del Caso Federal.-</w:t>
      </w:r>
    </w:p>
    <w:p>
      <w:pPr>
        <w:pStyle w:val="[Normal]"/>
        <w:spacing w:line="360" w:lineRule="auto"/>
        <w:ind w:firstLine="1134"/>
        <w:jc w:val="both"/>
        <w:rPr>
          <w:lang w:val="es-AR" w:eastAsia="es-AR" w:bidi="es-AR"/>
        </w:rPr>
      </w:pPr>
      <w:r>
        <w:rPr>
          <w:lang w:val="es-AR" w:eastAsia="es-AR" w:bidi="es-AR"/>
        </w:rPr>
        <w:t xml:space="preserve">A su turno, contesta el escrito recursivo el apoderado de la citada en garantía, y en primer lugar expresa que el recurso resulta insuficiente, en tanto no constituye siquiera  un atisbo de la "crítica concreta y razonada" de las partes del fallo que se ataca, como lo manda el art. 260 ritual, por lo cual solicita la declaración de deserción del mismo.</w:t>
      </w:r>
    </w:p>
    <w:p>
      <w:pPr>
        <w:pStyle w:val="[Normal]"/>
        <w:spacing w:line="360" w:lineRule="auto"/>
        <w:ind w:firstLine="1134"/>
        <w:jc w:val="both"/>
        <w:rPr>
          <w:lang w:val="es-AR" w:eastAsia="es-AR" w:bidi="es-AR"/>
        </w:rPr>
      </w:pPr>
      <w:r>
        <w:rPr>
          <w:lang w:val="es-AR" w:eastAsia="es-AR" w:bidi="es-AR"/>
        </w:rPr>
        <w:t xml:space="preserve">En subsidio contesta los agravios los agravios de la parte actora, y señala el fallo recurrido es acertado, debiendo ser confirmado en todas sus partes, pues concluye correctamente que la conducta de la actora fue la única causa adecuada del evento dañoso.</w:t>
      </w:r>
    </w:p>
    <w:p>
      <w:pPr>
        <w:pStyle w:val="[Normal]"/>
        <w:spacing w:line="360" w:lineRule="auto"/>
        <w:ind w:firstLine="1134"/>
        <w:jc w:val="both"/>
        <w:rPr>
          <w:lang w:val="es-AR" w:eastAsia="es-AR" w:bidi="es-AR"/>
        </w:rPr>
      </w:pPr>
      <w:r>
        <w:rPr>
          <w:lang w:val="es-AR" w:eastAsia="es-AR" w:bidi="es-AR"/>
        </w:rPr>
        <w:t xml:space="preserve">Ello, en tanto el sentenciante valoró en forma objetiva y razonada, a partir de la prueba producida, que la Sra. Pavese cruzó intempestivamente una avenida de alto tránsito fuera de la senda peatonal y con el semáforo habilitando el paso vehicular, conducta que constituye un grave apartamiento del deber de cuidado exigible al peatón.</w:t>
      </w:r>
    </w:p>
    <w:p>
      <w:pPr>
        <w:pStyle w:val="[Normal]"/>
        <w:spacing w:line="360" w:lineRule="auto"/>
        <w:ind w:firstLine="1134"/>
        <w:jc w:val="both"/>
        <w:rPr>
          <w:lang w:val="es-AR" w:eastAsia="es-AR" w:bidi="es-AR"/>
        </w:rPr>
      </w:pPr>
      <w:r>
        <w:rPr>
          <w:lang w:val="es-AR" w:eastAsia="es-AR" w:bidi="es-AR"/>
        </w:rPr>
        <w:t xml:space="preserve">Sostiene que lejos de constituir un absurdo, la sentencia recurrida pondera adecuadamente, a la luz de la sana crítica (art. 384 del Cód. Proc.) el claro comportamiento imprudente de la actora, quien, según surge del plexo probatorio, cruzó una avenida de alto tránsito fuera de la senda peatonal y con el semáforo habilitando el paso vehicular, desatendiendo las mínimas reglas de cuidado.</w:t>
      </w:r>
    </w:p>
    <w:p>
      <w:pPr>
        <w:pStyle w:val="[Normal]"/>
        <w:spacing w:line="360" w:lineRule="auto"/>
        <w:ind w:firstLine="1134"/>
        <w:jc w:val="both"/>
        <w:rPr>
          <w:lang w:val="es-AR" w:eastAsia="es-AR" w:bidi="es-AR"/>
        </w:rPr>
      </w:pPr>
      <w:r>
        <w:rPr>
          <w:lang w:val="es-AR" w:eastAsia="es-AR" w:bidi="es-AR"/>
        </w:rPr>
        <w:t xml:space="preserve">Expone jurisprudencia que entiende aplicable y en definitiva solicita la confirmación del fallo apelado, con costas.</w:t>
      </w:r>
    </w:p>
    <w:p>
      <w:pPr>
        <w:pStyle w:val="[Normal]"/>
        <w:spacing w:line="360" w:lineRule="auto"/>
        <w:ind w:firstLine="1134"/>
        <w:jc w:val="both"/>
        <w:rPr>
          <w:lang w:val="es-AR" w:eastAsia="es-AR" w:bidi="es-AR"/>
        </w:rPr>
      </w:pPr>
      <w:r>
        <w:rPr>
          <w:lang w:val="es-AR" w:eastAsia="es-AR" w:bidi="es-AR"/>
        </w:rPr>
        <w:t xml:space="preserve">Entrando a resolver la cuestión traía a esta Alzada, se advierte que el juez de grado valoró, con fundamentación motivada y conforme a la sana crítica, los elementos de prueba: la pericia mecánica que reconstruye la posición y movimiento de la unidad automotor (con las filmaciones que registran la secuencia del accidente), la declaración rendida por la actora en sede penal y otros elementos documentales que permiten concluir que ella cruzó el boulevard por fuera de la senda peatonal y con la circulación vehicular habilitada. Tales constancias, tomadas en conjunto, me permiten concluir que la conducta del peatón fue imprevisible e irracional en el contexto, constituyendo factor exclusivo y determinante del hecho dañoso.</w:t>
      </w:r>
    </w:p>
    <w:p>
      <w:pPr>
        <w:pStyle w:val="[Normal]"/>
        <w:spacing w:line="360" w:lineRule="auto"/>
        <w:ind w:firstLine="1134"/>
        <w:jc w:val="both"/>
        <w:rPr>
          <w:lang w:val="es-AR" w:eastAsia="es-AR" w:bidi="es-AR"/>
        </w:rPr>
      </w:pPr>
      <w:r>
        <w:rPr>
          <w:lang w:val="es-AR" w:eastAsia="es-AR" w:bidi="es-AR"/>
        </w:rPr>
        <w:t xml:space="preserve">De tal manera que y con el material probatorio reunido demuestra en forma indiscutible que ha mediado, en el caso traído a esta Alzada, un accionar culpable exclusivo de la victima, y como tal eximente de responsabilidad para el accionado (conforme las previsiones de los artículos 1719, 1722 y ccs. del C.C.y C.).</w:t>
      </w:r>
    </w:p>
    <w:p>
      <w:pPr>
        <w:pStyle w:val="[Normal]"/>
        <w:spacing w:line="360" w:lineRule="auto"/>
        <w:ind w:firstLine="1134"/>
        <w:jc w:val="both"/>
        <w:rPr>
          <w:lang w:val="es-AR" w:eastAsia="es-AR" w:bidi="es-AR"/>
        </w:rPr>
      </w:pPr>
      <w:r>
        <w:rPr>
          <w:lang w:val="es-AR" w:eastAsia="es-AR" w:bidi="es-AR"/>
        </w:rPr>
        <w:t xml:space="preserve">"Es que los peatones solo tienen derecho a cruzar la calzada por la senda de seguridad. Y si no está señalada, el cruce puede iniciarse siguiendo la respectiva senda imaginaria. En caso de no obrar así, germina una presunción de su culpa en los accidentes de tránsito que se produzcan como consecuencia de la infracción, pues, sólo en dichas sendas los vehículos deben ceder paso, y que el hecho de que la víctima cruzara la calle por la mitad de la misma en lugar de hacerlo por la bocacalle -única conducta correcta- interrumpe el nexo causal a los fines del art. 1113, párr. 2º, apart. 2º C. Civil, resultando ello de la armonización de lo dispuesto por el Cód. Tránsito de la Provincia de Buenos Aires en su art. 49, que prescribe deberán realizar el cruce de la calzada por la senda peatonal o por la de la calzada que prolonga la acera en sentido longitudinal, y el art. 57 que establece la obligación de detención de los vehículos para el paso de peatones sólo cuando se llega a la bocacalle, no en el centro de la calzada" (sumario Juba B1750914,  CC0002 SI 95123 RSD-166-4 S 08/07/2004 Carátula: Cristaldo, Ramón y otros c/Carabajal, Miguel s/Daños y perjuicios).</w:t>
      </w:r>
    </w:p>
    <w:p>
      <w:pPr>
        <w:pStyle w:val="[Normal]"/>
        <w:spacing w:line="360" w:lineRule="auto"/>
        <w:ind w:firstLine="1134"/>
        <w:jc w:val="both"/>
        <w:rPr>
          <w:lang w:val="es-AR" w:eastAsia="es-AR" w:bidi="es-AR"/>
        </w:rPr>
      </w:pPr>
      <w:r>
        <w:rPr>
          <w:lang w:val="es-AR" w:eastAsia="es-AR" w:bidi="es-AR"/>
        </w:rPr>
        <w:t xml:space="preserve">El artículo Nº 38 de la Ley Nacional de Tránsito Nº 24.449 a la que adhiere la Provincia de Buenos Aires mediante Ley 13.927,  establece que los peatones transitarán "a) En zona urbana: 1. Únicamente por la acera u otros espacios habilitados a ese fin; 2. En las intersecciones, por la senda peatonal...".</w:t>
      </w:r>
    </w:p>
    <w:p>
      <w:pPr>
        <w:pStyle w:val="[Normal]"/>
        <w:spacing w:line="360" w:lineRule="auto"/>
        <w:ind w:firstLine="1134"/>
        <w:jc w:val="both"/>
        <w:rPr>
          <w:lang w:val="es-AR" w:eastAsia="es-AR" w:bidi="es-AR"/>
        </w:rPr>
      </w:pPr>
      <w:r>
        <w:rPr>
          <w:lang w:val="es-AR" w:eastAsia="es-AR" w:bidi="es-AR"/>
        </w:rPr>
        <w:t xml:space="preserve">En autos se ha establecido en forma indubitada el lugar exacto del hecho, esto es en la "mitad del Boulevard" (según declaración de la propia Sra. Pavese, a Fs. 44 Vta. de la causa penal  caratulada "Acuña, Maria Daniela s/Lesiones culposas - art. 94, Víctima: Pavese Stella Maris", que en este acto tengo a la vista) y al respecto debe recordarse que  vehículos y peatones tienen lugares delimitados para circular, esto es la calle y acera respectivamente (arts. 38 , 39, 48 y ccs. de la Ley Nacional de Tránsito Nº 24.449 a la que adhiere la Provincia de Buenos Aires mediante Ley 13.927), con la excepción que ya he referido, esto es en la parte de la calzada que se extiende la senda peatonal, zona donde el peatón tiene prioridad sobre los vehículos y, fuera de dicha salvedad, la presencia de transeúntes en lugares de circulación exclusiva de vehículos, no solo esta claramente prohibida por la legislación (a la que he hecho referencia anteriormente), "... </w:t>
      </w:r>
      <w:r>
        <w:rPr>
          <w:i/>
          <w:lang w:val="es-AR" w:eastAsia="es-AR" w:bidi="es-AR"/>
        </w:rPr>
        <w:t xml:space="preserve">sino que se constituye en una grave violación  al deber objetivo de cuidado, particularmente cuando el descenso a la calzada se produce sin la previa constatación  de que puede hacérselo sin riesgo. En tal sentido se tiene dicho reiteradamente que el peatón no tiene un "bill de indemnidad" ni es el dueño y señor de la calle y, al igual que el conductor del automóvil, debe cumplir con las normas que el legislador ha impuesto para garantizar  su seguridad personal y la de los terceros. No observa tal mandato de seguridad el peatón que en forma totalmente imprevista desciende a la calzada en zona de circulación exclusiva de vehículos, sin percatarse que en ese momento transitaba por el lugar un camión que con su caja lo derribó, produciéndole las lesiones certificadas pericialmente</w:t>
      </w:r>
      <w:r>
        <w:rPr>
          <w:lang w:val="es-AR" w:eastAsia="es-AR" w:bidi="es-AR"/>
        </w:rPr>
        <w:t xml:space="preserve">" (Cam. de Apelación del Departamento Judicial Pergamino, en autos C-4224/02, caratulados  "Bois, Jorge H. y otra c/ Saucedo, Claudia y otros s/Indemnización por Daños y Perjuicios" Reg. Sent. Nro. 104, Folio 423).</w:t>
      </w:r>
    </w:p>
    <w:p>
      <w:pPr>
        <w:pStyle w:val="[Normal]"/>
        <w:spacing w:line="360" w:lineRule="auto"/>
        <w:ind w:firstLine="1134"/>
        <w:jc w:val="both"/>
        <w:rPr>
          <w:lang w:val="es-AR" w:eastAsia="es-AR" w:bidi="es-AR"/>
        </w:rPr>
      </w:pPr>
      <w:r>
        <w:rPr>
          <w:lang w:val="es-AR" w:eastAsia="es-AR" w:bidi="es-AR"/>
        </w:rPr>
        <w:t xml:space="preserve">La consecuencia jurídica es clara: el obrar de la víctima interrumpió totalmente el nexo causal que vincula el hecho con el riesgo de la cosa (arts. 1719, 1729 del  C.C. y C.). Ello libera de responsabilidad al dueño y guardián del vehículo, resultando ajustada a derecho la sentencia que rechazó la demanda.</w:t>
      </w:r>
    </w:p>
    <w:p>
      <w:pPr>
        <w:pStyle w:val="[Normal]"/>
        <w:spacing w:line="360" w:lineRule="auto"/>
        <w:ind w:firstLine="1134"/>
        <w:jc w:val="both"/>
        <w:rPr>
          <w:lang w:val="es-AR" w:eastAsia="es-AR" w:bidi="es-AR"/>
        </w:rPr>
      </w:pPr>
      <w:r>
        <w:rPr>
          <w:lang w:val="es-AR" w:eastAsia="es-AR" w:bidi="es-AR"/>
        </w:rPr>
        <w:t xml:space="preserve">Tampoco se puede aceptar el argumento basado en la concurrencia causal que pretende introducir el apelante para modificar el curso decisorio de la sentencia recurrida. Es que, desde la perspectiva del análisis causal,</w:t>
      </w:r>
      <w:r>
        <w:rPr>
          <w:b/>
          <w:lang w:val="es-AR" w:eastAsia="es-AR" w:bidi="es-AR"/>
        </w:rPr>
        <w:t xml:space="preserve"> </w:t>
      </w:r>
      <w:r>
        <w:rPr>
          <w:lang w:val="es-AR" w:eastAsia="es-AR" w:bidi="es-AR"/>
        </w:rPr>
        <w:t xml:space="preserve">cabe distinguir entre la factor ocasional que pudo originar el estado de emergencia y el factor jurídicamente eficaz que explica la producción del daño reclamado. En este caso, la conducta del actor -quien cruzó en la mitad de una avenida de elevada circulación cuando el semáforo estaba en verde habilitando el paso de vehículos por la misma vía en la que emprendió el cruce- se presenta como una respuesta sorpresiva, desproporcionada e imprevisible, no exigida por la situación, que en términos jurídicos se asemeja a una consecuencia remota o casual (mediata no previsible) y, por tanto, resulta idónea para interrumpir el nexo causal entre el hecho imputable al demandado y la cosa riesgosa (art. 1726, 1729 y 1757 CCyC). </w:t>
      </w:r>
    </w:p>
    <w:p>
      <w:pPr>
        <w:pStyle w:val="[Normal]"/>
        <w:spacing w:line="360" w:lineRule="auto"/>
        <w:ind w:firstLine="1134"/>
        <w:jc w:val="both"/>
        <w:rPr>
          <w:lang w:val="es-AR" w:eastAsia="es-AR" w:bidi="es-AR"/>
        </w:rPr>
      </w:pPr>
      <w:r>
        <w:rPr>
          <w:lang w:val="es-AR" w:eastAsia="es-AR" w:bidi="es-AR"/>
        </w:rPr>
        <w:t xml:space="preserve">Aun en el marco de la responsabilidad objetiva, la doctrina legal de la SCBA ha reconocido reiteradamente que la conducta de la víctima puede operar como eximente total de responsabilidad, cuando se erige como causa exclusiva o concausa suficiente del daño, conforme a las reglas de la causalidad adecuada. En relación a ello, la Casación provincial ha dicho que: </w:t>
      </w:r>
      <w:r>
        <w:rPr>
          <w:i/>
          <w:lang w:val="es-AR" w:eastAsia="es-AR" w:bidi="es-AR"/>
        </w:rPr>
        <w:t xml:space="preserve">"La interrupción total o parcial del nexo causal entre el hecho y el daño por la actividad de la víctima o un tercero, así como la existencia de las circunstancias fácticas que rodearon o precedieron el accidente son cuestiones de naturaleza fáctico probatoria y, por ende, no pueden obviarse la denuncia y demostración de la ilogicidad de los razonamientos empleados por el juzgador al resolver sobre las mismas" </w:t>
      </w:r>
      <w:r>
        <w:rPr>
          <w:lang w:val="es-AR" w:eastAsia="es-AR" w:bidi="es-AR"/>
        </w:rPr>
        <w:t xml:space="preserve">(SCBA, </w:t>
      </w:r>
      <w:r>
        <w:rPr>
          <w:i/>
          <w:lang w:val="es-AR" w:eastAsia="es-AR" w:bidi="es-AR"/>
        </w:rPr>
        <w:t xml:space="preserve">"U. ,H. R. c/B. ,V. y o. s/Daños y perjuicios"</w:t>
      </w:r>
      <w:r>
        <w:rPr>
          <w:lang w:val="es-AR" w:eastAsia="es-AR" w:bidi="es-AR"/>
        </w:rPr>
        <w:t xml:space="preserve">, 6/9/2006).</w:t>
      </w:r>
    </w:p>
    <w:p>
      <w:pPr>
        <w:pStyle w:val="[Normal]"/>
        <w:spacing w:line="360" w:lineRule="auto"/>
        <w:ind w:firstLine="1134"/>
        <w:jc w:val="both"/>
        <w:rPr>
          <w:lang w:val="es-AR" w:eastAsia="es-AR" w:bidi="es-AR"/>
        </w:rPr>
      </w:pPr>
      <w:r>
        <w:rPr>
          <w:lang w:val="es-AR" w:eastAsia="es-AR" w:bidi="es-AR"/>
        </w:rPr>
        <w:t xml:space="preserve">En este sentido, considero que no resultaba jurídicamente exigible al demandado haber previsto una conducta de esa índole por parte del peatón. Al respecto, es oportuno observar que la previsibilidad de la conducta del damnificado es un elemento determinante en la subsistencia del nexo causal,</w:t>
      </w:r>
      <w:r>
        <w:rPr>
          <w:b/>
          <w:lang w:val="es-AR" w:eastAsia="es-AR" w:bidi="es-AR"/>
        </w:rPr>
        <w:t xml:space="preserve"> </w:t>
      </w:r>
      <w:r>
        <w:rPr>
          <w:lang w:val="es-AR" w:eastAsia="es-AR" w:bidi="es-AR"/>
        </w:rPr>
        <w:t xml:space="preserve">y que la víctima no puede invocar la creación del riesgo cuando su obrar autónomo lo desencadena. La ruptura de este vínculo</w:t>
      </w:r>
      <w:r>
        <w:rPr>
          <w:b/>
          <w:lang w:val="es-AR" w:eastAsia="es-AR" w:bidi="es-AR"/>
        </w:rPr>
        <w:t xml:space="preserve"> </w:t>
      </w:r>
      <w:r>
        <w:rPr>
          <w:lang w:val="es-AR" w:eastAsia="es-AR" w:bidi="es-AR"/>
        </w:rPr>
        <w:t xml:space="preserve">se verifica cuando el suceso dañoso se produce por una causa independiente, extraordinaria o anómala respecto del comportamiento esperado, y no puede imputarse válidamente al dueño o guardián de la cosa.</w:t>
      </w:r>
    </w:p>
    <w:p>
      <w:pPr>
        <w:pStyle w:val="[Normal]"/>
        <w:spacing w:line="360" w:lineRule="auto"/>
        <w:ind w:firstLine="1134"/>
        <w:jc w:val="both"/>
        <w:rPr>
          <w:lang w:val="es-AR" w:eastAsia="es-AR" w:bidi="es-AR"/>
        </w:rPr>
      </w:pPr>
      <w:r>
        <w:rPr>
          <w:lang w:val="es-AR" w:eastAsia="es-AR" w:bidi="es-AR"/>
        </w:rPr>
        <w:t xml:space="preserve">En otro orden, cabe observar que el escrito recursivo no aporta prueba de entidad científica que desarme las conclusiones técnicas del perito oficial. Repetir la afirmación de que la pericia es insuficiente sin acompañar elementos de contraste de igual jerarquía no basta para desvirtuarla. </w:t>
      </w:r>
    </w:p>
    <w:p>
      <w:pPr>
        <w:pStyle w:val="[Normal]"/>
        <w:spacing w:line="360" w:lineRule="auto"/>
        <w:ind w:firstLine="1134"/>
        <w:jc w:val="both"/>
        <w:rPr>
          <w:lang w:val="es-AR" w:eastAsia="es-AR" w:bidi="es-AR"/>
        </w:rPr>
      </w:pPr>
      <w:r>
        <w:rPr>
          <w:lang w:val="es-AR" w:eastAsia="es-AR" w:bidi="es-AR"/>
        </w:rPr>
        <w:t xml:space="preserve">Tampoco el recurrente impugna puntualmente la cadena probatoria (filmaciones, pericia, declaración de la víctima en sede penal) ni explica por qué esos elementos estarían viciados. La mera disconformidad ideológica o fáctica no suple la exigencia de motivación que habilita la revisión de la valoración judicial.</w:t>
      </w:r>
    </w:p>
    <w:p>
      <w:pPr>
        <w:pStyle w:val="[Normal]"/>
        <w:spacing w:line="360" w:lineRule="auto"/>
        <w:ind w:firstLine="1134"/>
        <w:jc w:val="both"/>
        <w:rPr>
          <w:lang w:val="es-AR" w:eastAsia="es-AR" w:bidi="es-AR"/>
        </w:rPr>
      </w:pPr>
      <w:r>
        <w:rPr>
          <w:lang w:val="es-AR" w:eastAsia="es-AR" w:bidi="es-AR"/>
        </w:rPr>
        <w:t xml:space="preserve">La apelante pretende otorgar a la declaración de rebeldía un efecto absoluto; sin embargo debo señalar que "...</w:t>
      </w:r>
      <w:r>
        <w:rPr>
          <w:i/>
          <w:lang w:val="es-AR" w:eastAsia="es-AR" w:bidi="es-AR"/>
        </w:rPr>
        <w:t xml:space="preserve"> no basta por sí sola para admitir el progreso de la acción pues se configura solamente una presunción de verdad de los dichos del accionante que deberá hallarse corroborada por la prueba producida en la causa. En definitiva, la rebeldía - declarada y firme - no exime a la parte actora de la carga procesal de acreditar el presupuesto de hecho de la norma que da sustento a su pretensión por lo que la falta de respuesta a la acción promovida no lleva implícito el progreso per se de la acción entablada</w:t>
      </w:r>
      <w:r>
        <w:rPr>
          <w:lang w:val="es-AR" w:eastAsia="es-AR" w:bidi="es-AR"/>
        </w:rPr>
        <w:t xml:space="preserve">" (CC0103 MP 170246 184 S 12/11/2020,Carátula: "BANCO DE LA PROVINCIA DE BUENOS AIRES C/ MONGE ANGEL ADRIAN S/ COBRO SUMARIO SUMAS DINERO (EXC. ALQUILERES, ETC., sumario Juba: B5080271).</w:t>
      </w:r>
    </w:p>
    <w:p>
      <w:pPr>
        <w:pStyle w:val="[Normal]"/>
        <w:spacing w:line="360" w:lineRule="auto"/>
        <w:ind w:firstLine="1134"/>
        <w:jc w:val="both"/>
        <w:rPr>
          <w:lang w:val="es-AR" w:eastAsia="es-AR" w:bidi="es-AR"/>
        </w:rPr>
      </w:pPr>
      <w:r>
        <w:rPr>
          <w:lang w:val="es-AR" w:eastAsia="es-AR" w:bidi="es-AR"/>
        </w:rPr>
        <w:t xml:space="preserve">Conforme la doctrina y la jurisprudencia expresadas en el decisorio de grado, la conducta del peatón , esto es el cruce intempestivo fuera de senda peatonal, en avenida de alto tránsito y con luz de semáforo habilitante para los vehículos que transitaban por la misma, - constituye un comportamiento que interrumpe el nexo causal entre el riesgo del vehículo y el daño (arts. 1757 y ss. CCCN aplicables; doctrina de la SCBA). En el presente caso la pericia, unida a la propia declaración de la actora, sostienen con eficacia la convicción de que la acción de la víctima fue la única causa adecuada del resultado dañoso.</w:t>
      </w:r>
    </w:p>
    <w:p>
      <w:pPr>
        <w:pStyle w:val="[Normal]"/>
        <w:spacing w:line="360" w:lineRule="auto"/>
        <w:ind w:firstLine="1134"/>
        <w:jc w:val="both"/>
        <w:rPr>
          <w:lang w:val="es-AR" w:eastAsia="es-AR" w:bidi="es-AR"/>
        </w:rPr>
      </w:pPr>
      <w:r>
        <w:rPr>
          <w:lang w:val="es-AR" w:eastAsia="es-AR" w:bidi="es-AR"/>
        </w:rPr>
        <w:t xml:space="preserve">Entiendo que en este caso, nos encontramos frente a una conducta tan distante de las pautas normales de comportamiento que el resultado dañoso aparece como previsible. Ello en tanto que no se trata solo de haber cruzado la avenida por fuera de la senda peatonal, sino que ello ocurrió en una zona altamente transitada, en tanto es uno de los pasos habilitados para el tránsito hacia el Barrio Acevedo, conocido por la accionante (en tanto manifestó vivir en las inmediaciones), con el agravante que lo hizo cuando estaba habilitado el tránsito mediante señal lumínica pertinente del semáforo, circunstancias que ponen en evidencia una culpa grosera e inusitada, que exhibe un total desprecio de las consecuencias de tal accionar.</w:t>
      </w:r>
    </w:p>
    <w:p>
      <w:pPr>
        <w:pStyle w:val="[Normal]"/>
        <w:spacing w:line="360" w:lineRule="auto"/>
        <w:ind w:firstLine="1134"/>
        <w:jc w:val="both"/>
        <w:rPr>
          <w:lang w:val="es-AR" w:eastAsia="es-AR" w:bidi="es-AR"/>
        </w:rPr>
      </w:pPr>
      <w:r>
        <w:rPr>
          <w:lang w:val="es-AR" w:eastAsia="es-AR" w:bidi="es-AR"/>
        </w:rPr>
        <w:t xml:space="preserve">Finalmente, las alusiones genéricas a violación de derechos constitucionales (arts. 17 y 18 CN) no constituyen una crítica razonada, al no explicar de qué modo concreto la sentencia afectó tales garantías. Las menciones a supuestas vulneraciones de derechos constitucionales se formulan de modo genérico y sin vinculación con un error concreto en la motivación o en el procedimiento que permita tildar la resolución de “arbitraria”. La apelación debe señalar en forma precisa y razonada la violación; la mera alegación abstracta no cumple tal requisito.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y en su mérito confirmar la sentencia de primera instancia en todas sus partes, con costas a la apelante perdidosa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para el momento procesal oportuno (Art. 31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y en su mérito confirmar la sentencia de primera instancia en todas sus partes, con costas a la apelante perdidosa (Art. 68 del C.P.C. y C.).</w:t>
      </w:r>
    </w:p>
    <w:p>
      <w:pPr>
        <w:pStyle w:val="[Normal]"/>
        <w:spacing w:line="360" w:lineRule="auto"/>
        <w:ind w:firstLine="1134"/>
        <w:jc w:val="both"/>
        <w:rPr>
          <w:lang w:val="es-AR" w:eastAsia="es-AR" w:bidi="es-AR"/>
        </w:rPr>
      </w:pPr>
      <w:r>
        <w:rPr>
          <w:lang w:val="es-AR" w:eastAsia="es-AR" w:bidi="es-AR"/>
        </w:rPr>
        <w:t xml:space="preserve">Diferir la regulación de los honorarios para el momento procesal oportuno (Art. 31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16/09/2025 10:26:34 -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16/09/2025 10:31:17 -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16/09/2025 11:30:45 -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‰8;")è&amp;`Gp}Š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242702090006643980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16/09/2025 11:31:03 hs. bajo el número RS-123-2025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