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5737-25</w:t>
      </w:r>
      <w:r>
        <w:rPr>
          <w:lang w:val="es-AR" w:eastAsia="es-AR" w:bidi="es-AR"/>
        </w:rPr>
        <w:t xml:space="preserve"> caratulada </w:t>
      </w:r>
      <w:r>
        <w:rPr>
          <w:b/>
          <w:lang w:val="es-AR" w:eastAsia="es-AR" w:bidi="es-AR"/>
        </w:rPr>
        <w:t xml:space="preserve">"</w:t>
      </w:r>
      <w:r>
        <w:rPr>
          <w:b/>
          <w:color w:val="000000"/>
          <w:lang w:val="es-AR" w:eastAsia="es-AR" w:bidi="es-AR"/>
        </w:rPr>
        <w:t xml:space="preserve">G, G A C/ P, G S S/INCIDENTE DE ALIMENTOS</w:t>
      </w:r>
      <w:r>
        <w:rPr>
          <w:b/>
          <w:lang w:val="es-AR" w:eastAsia="es-AR" w:bidi="es-AR"/>
        </w:rPr>
        <w:t xml:space="preserve">"</w:t>
      </w:r>
      <w:r>
        <w:rPr>
          <w:lang w:val="es-AR" w:eastAsia="es-AR" w:bidi="es-AR"/>
        </w:rPr>
        <w:t xml:space="preserve">, Expte. N° CO-44936</w:t>
      </w:r>
      <w:r>
        <w:rPr>
          <w:color w:val="000000"/>
          <w:lang w:val="es-AR" w:eastAsia="es-AR" w:bidi="es-AR"/>
        </w:rPr>
        <w:t xml:space="preserve"> </w:t>
      </w:r>
      <w:r>
        <w:rPr>
          <w:lang w:val="es-AR" w:eastAsia="es-AR" w:bidi="es-AR"/>
        </w:rPr>
        <w:t xml:space="preserve">del Juzgado de Paz Letrado de Colón</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La señora Jueza de la anterior sede rechazó la demanda de cese de cuota alimentaria y reducción de cuota pedida del actor e impuso las costas.- </w:t>
      </w:r>
    </w:p>
    <w:p>
      <w:pPr>
        <w:pStyle w:val="[Normal]"/>
        <w:spacing w:line="360" w:lineRule="auto"/>
        <w:ind w:firstLine="1134"/>
        <w:jc w:val="both"/>
        <w:rPr>
          <w:lang w:val="es-AR" w:eastAsia="es-AR" w:bidi="es-AR"/>
        </w:rPr>
      </w:pPr>
      <w:r>
        <w:rPr>
          <w:lang w:val="es-AR" w:eastAsia="es-AR" w:bidi="es-AR"/>
        </w:rPr>
        <w:t xml:space="preserve">En disconformidad con lo resuelto apela el actor el 20-5-2025, ampliando el recurso el 23-5-2025, siendo concedido en relación el 28-5-2025, se confiere traslado a la contraparte el que es contestado el 5-6-2025.</w:t>
      </w:r>
    </w:p>
    <w:p>
      <w:pPr>
        <w:pStyle w:val="[Normal]"/>
        <w:spacing w:line="360" w:lineRule="auto"/>
        <w:ind w:firstLine="1134"/>
        <w:jc w:val="both"/>
        <w:rPr>
          <w:lang w:val="es-AR" w:eastAsia="es-AR" w:bidi="es-AR"/>
        </w:rPr>
      </w:pPr>
      <w:r>
        <w:rPr>
          <w:lang w:val="es-AR" w:eastAsia="es-AR" w:bidi="es-AR"/>
        </w:rPr>
        <w:t xml:space="preserve">Ingresados los autos a esta Alzada el 27-6-2025 se dicta el llamamiento,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el Sr. G que la jueza omitió en su resolución tratar de manera fundada el pedido de reducción de la cuota, la cual se encontraba debidamente sustanciado y probado en el caso la nueva realidad de su entorno. Añade que confirmar la cuota alimentaria en el 20% de sus ingresos, pone en clara desventaja al resto de sus hijos, pudiendo la joven quien goza de buena salud conseguir un trabajo para ayudar a la economía de sus progenitores y de sus medios hermanos. Tacha a la sentencia de  arbitraria y carente de fundamentos, por lo que solicita su revocación y que la cuota sea reducida al 10% de los ingresos del recurrente.</w:t>
      </w:r>
    </w:p>
    <w:p>
      <w:pPr>
        <w:pStyle w:val="[Normal]"/>
        <w:spacing w:line="360" w:lineRule="auto"/>
        <w:ind w:firstLine="1134"/>
        <w:jc w:val="both"/>
        <w:rPr>
          <w:lang w:val="es-AR" w:eastAsia="es-AR" w:bidi="es-AR"/>
        </w:rPr>
      </w:pPr>
      <w:r>
        <w:rPr>
          <w:lang w:val="es-AR" w:eastAsia="es-AR" w:bidi="es-AR"/>
        </w:rPr>
        <w:t xml:space="preserve">Mediante presentación de fecha 23/5/2025 amplia su cuestionamiento, al considerar que viola el principio de congruencia, pues la pretensión inicial de cese de cuota había tácitamente mutado a un pedido de reducción, y en virtud de ello el juzgador cometió un error al resolver, sentenciando más allá de lo pretendido. Tal yerro repercute en la base arancelaria a tener en cuenta en la causa, lo que modificaría a su vez la resolución sobre honorarios.</w:t>
      </w:r>
      <w:r>
        <w:rPr>
          <w:b/>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La contraria, hija del accionante, al contestar el traslado conferido cuestiona la memoria por considerar que la misma no constituye una crítica concreta y razonada del fallo sino solo una mera disconformidad con la sentencia dictada, fundado en afirmaciones subjetivas y sin sustento real.</w:t>
      </w:r>
    </w:p>
    <w:p>
      <w:pPr>
        <w:pStyle w:val="[Normal]"/>
        <w:spacing w:line="360" w:lineRule="auto"/>
        <w:ind w:firstLine="1134"/>
        <w:jc w:val="both"/>
        <w:rPr>
          <w:lang w:val="es-AR" w:eastAsia="es-AR" w:bidi="es-AR"/>
        </w:rPr>
      </w:pPr>
      <w:r>
        <w:rPr>
          <w:lang w:val="es-AR" w:eastAsia="es-AR" w:bidi="es-AR"/>
        </w:rPr>
        <w:t xml:space="preserve">Continúa su responde señalando que su parte no consintió el cambio del objeto del reclamo, sino que oportunamente lo que hizo es defenderse ante el pedido primero de cese y luego de reducción de cuota pretendidos por su progenitor. Refiere que luego de varios reclamos hechos por su madre, logró de manera judicial el aporte en concepto de cuota alimentaria. Actualmente estudia la Tecnicatura Superior en Acompañamiento Terapéutico en un instituto de Colón, y que el dinero que percibe de su padre, lo utiliza para afrontar los gastos para su formación. Respecto al segundo agravio, señala que en la causa no se produjo ni una sola prueba que justifique la reducción pretendida, extremo que hacía al interés del incidentista. Por último tacha de falsa la falta de congruencia del fallo, toda vez que en su pretensión principal la actora solicitó el cese de la cuota alimentaria, y con nuevo patrocinio solicitó la reducción de cuota, pero no existió de su parte ningún desistimiento referido a la pretensión principal. Finalmente solicita que se rechace el recurso interpuesto y se confirme en todas sus partes la sentencia dictada. En el apartado IV, la progenitora Sra. P, adhiere al responde del memorial de su hija y solicita la confirmación del fallo con costas al actor.</w:t>
      </w:r>
    </w:p>
    <w:p>
      <w:pPr>
        <w:pStyle w:val="[Normal]"/>
        <w:spacing w:line="360" w:lineRule="auto"/>
        <w:ind w:firstLine="1134"/>
        <w:jc w:val="both"/>
        <w:rPr>
          <w:lang w:val="es-AR" w:eastAsia="es-AR" w:bidi="es-AR"/>
        </w:rPr>
      </w:pPr>
      <w:r>
        <w:rPr>
          <w:lang w:val="es-AR" w:eastAsia="es-AR" w:bidi="es-AR"/>
        </w:rPr>
        <w:t xml:space="preserve">I.- Ingresando a resolver la cuestión traída, y en relación a lo planteado expresamente por la parte demandada en su responde relativa al incumplimiento de los recaudos establecidos por el art. 260 del CPCC, cabe señalar que de la lectura del memorial arrimado por el actor se advierte una crítica del fallo apelado que logra superar mínimamente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II.- Ahora bien, dicho lo anterior pasaré a analizar el cuestionamiento formulado en relación a la falta de congruencia y fundamentos endilgados por el recurrente y para ello debo hacer un análisis de las constancias de autos.</w:t>
      </w:r>
    </w:p>
    <w:p>
      <w:pPr>
        <w:pStyle w:val="[Normal]"/>
        <w:spacing w:line="360" w:lineRule="auto"/>
        <w:ind w:firstLine="1134"/>
        <w:jc w:val="both"/>
        <w:rPr>
          <w:lang w:val="es-AR" w:eastAsia="es-AR" w:bidi="es-AR"/>
        </w:rPr>
      </w:pPr>
      <w:r>
        <w:rPr>
          <w:lang w:val="es-AR" w:eastAsia="es-AR" w:bidi="es-AR"/>
        </w:rPr>
        <w:t xml:space="preserve">En el escrito de inicio presentado 3/4/2023, el Sr. G promueve demanda pidiendo el cese de la cuota alimentaria que abonaba a la Señora P G S. ( en favor de la joven </w:t>
      </w:r>
      <w:r>
        <w:rPr>
          <w:lang w:val="es-AR" w:eastAsia="es-AR" w:bidi="es-AR"/>
        </w:rPr>
        <w:t xml:space="preserve"> V.L.G.P), habiendo esta última cumplido 21 años en ese entonces. El 13/6/2023 la Sra. P contestó la demanda. Luego, en pleno tramite del proceso, y con nueva asesoría letrada el Sr. G en fecha 15/5/2024 solicitó la reducción de la cuota, y requirió que se cite a la joven. Ordenado el traslado, la Sra. P contesta oponiéndose a la reducción solicitada (P.E. 4/7/2024). Se produjo la prueba en autos y se celebró audiencia sin lograr acuerdo entre las partes. En la presentación de fecha 21/3/2025 contesta el traslado la Srita. L.V.G.P., y ratifica todo lo actuado por su madre y su letrado. Clausurada la etapa de prueba, se pasó la causa a resolver mediante la sentencia que rechazó la pretensión actoral, esto es el cese y la reducción de la cuota.</w:t>
      </w:r>
    </w:p>
    <w:p>
      <w:pPr>
        <w:pStyle w:val="[Normal]"/>
        <w:spacing w:line="360" w:lineRule="auto"/>
        <w:ind w:firstLine="1134"/>
        <w:jc w:val="both"/>
        <w:rPr>
          <w:lang w:val="es-AR" w:eastAsia="es-AR" w:bidi="es-AR"/>
        </w:rPr>
      </w:pPr>
      <w:r>
        <w:rPr>
          <w:lang w:val="es-AR" w:eastAsia="es-AR" w:bidi="es-AR"/>
        </w:rPr>
        <w:t xml:space="preserve">Sobre esa base fáctica es que debo trabajar para dar resolución al caso, pues en primer lugar se pidió el cese de la cuota, y luego, sin desistir de la pretensión principal se pidió la reducción de la misma.</w:t>
      </w:r>
    </w:p>
    <w:p>
      <w:pPr>
        <w:pStyle w:val="[Normal]"/>
        <w:spacing w:line="360" w:lineRule="auto"/>
        <w:ind w:firstLine="1134"/>
        <w:jc w:val="both"/>
        <w:rPr>
          <w:i/>
          <w:lang w:val="es-AR" w:eastAsia="es-AR" w:bidi="es-AR"/>
        </w:rPr>
      </w:pPr>
      <w:r>
        <w:rPr>
          <w:lang w:val="es-AR" w:eastAsia="es-AR" w:bidi="es-AR"/>
        </w:rPr>
        <w:t xml:space="preserve">III.- </w:t>
      </w:r>
      <w:r>
        <w:rPr>
          <w:b/>
          <w:lang w:val="es-AR" w:eastAsia="es-AR" w:bidi="es-AR"/>
        </w:rPr>
        <w:t xml:space="preserve">Pedido de cese</w:t>
      </w:r>
      <w:r>
        <w:rPr>
          <w:lang w:val="es-AR" w:eastAsia="es-AR" w:bidi="es-AR"/>
        </w:rPr>
        <w:t xml:space="preserve">: Se ha dicho por la jurisprudencia provincial que: </w:t>
      </w:r>
      <w:r>
        <w:rPr>
          <w:i/>
          <w:lang w:val="es-AR" w:eastAsia="es-AR" w:bidi="es-AR"/>
        </w:rPr>
        <w:t xml:space="preserve">"Las partes del proceso alimentario poseen la facultad de obtener un nuevo pronunciamiento adaptado al cambio del estado de hecho producido con posterioridad, en la medida que la peticionante pruebe los presupuestos fácticos que lo tornen procedente. Precisamente, toda modificación -aumento, disminución o cese- de la cuota de alimentos fijada en sentencia o por convenio, deberá ser peticionada y debidamente probadas sus circunstancias, mediante la vía incidental, debiendo el alimentante o el alimentado, en su caso, acreditar que la cuota establecida no es adecuada en virtud de las necesidades a solventar (art. 375 CPCC.)." (CC0202 LP 132163 RSD 22/23 S 16/02/2023 Juez HANKOVITS (SD), Sumario Juba B5084266).</w:t>
      </w:r>
    </w:p>
    <w:p>
      <w:pPr>
        <w:pStyle w:val="[Normal]"/>
        <w:spacing w:line="360" w:lineRule="auto"/>
        <w:ind w:firstLine="1134"/>
        <w:jc w:val="both"/>
        <w:rPr>
          <w:lang w:val="es-AR" w:eastAsia="es-AR" w:bidi="es-AR"/>
        </w:rPr>
      </w:pPr>
      <w:r>
        <w:rPr>
          <w:lang w:val="es-AR" w:eastAsia="es-AR" w:bidi="es-AR"/>
        </w:rPr>
        <w:t xml:space="preserve">El art. 658 del CCCN establece pautas para determinar el monto de la prestación alimentaria, distinguiendo el cuidado personal de la obligación alimentaria y estableciendo la paridad de ambos progenitores respecto a la manutención de los hijos, pero condicionada a estrictos elementos objetivos, como lo son la condición y fortuna de cada uno de ellos. En la determinación de la cuantía, la proporcionalidad funciona en un doble sentido: entre los obligados, sujetos pasivos de la obligación ( conf. art. 658 y 666 CCyC ), y frente al hijo, en tanto evaluación de posibilidades económicas en relación a las necesidades del alimentado (art. 659 CCyC).</w:t>
      </w:r>
    </w:p>
    <w:p>
      <w:pPr>
        <w:pStyle w:val="[Normal]"/>
        <w:spacing w:line="360" w:lineRule="auto"/>
        <w:ind w:firstLine="1134"/>
        <w:jc w:val="both"/>
        <w:rPr>
          <w:lang w:val="es-AR" w:eastAsia="es-AR" w:bidi="es-AR"/>
        </w:rPr>
      </w:pPr>
      <w:r>
        <w:rPr>
          <w:lang w:val="es-AR" w:eastAsia="es-AR" w:bidi="es-AR"/>
        </w:rPr>
        <w:t xml:space="preserve">Dicho ello es que analizando el presente incidente en cuanto a la pretensión de cese de cuota alimentaria, he de coincidir con el rechazo dictado por la a quo, pues sabido es que la meritación de su procedencia debe hacerse con criterio restrictivo, puesto que el padre se encuentra constreñido legalmente a satisfacer las necesidades de la joven, no desconociéndose en el caso la obligación en cabeza de la madre, quien se encuentra a cargo de la niña desde el nacimiento y que para lograr el aporte del progenitor, tuvo que iniciar varias causas judiciales para obtener la fijación de cuota alimentaria.-</w:t>
      </w:r>
    </w:p>
    <w:p>
      <w:pPr>
        <w:pStyle w:val="[Normal]"/>
        <w:spacing w:line="360" w:lineRule="auto"/>
        <w:ind w:firstLine="1134"/>
        <w:jc w:val="both"/>
        <w:rPr>
          <w:lang w:val="es-AR" w:eastAsia="es-AR" w:bidi="es-AR"/>
        </w:rPr>
      </w:pPr>
      <w:r>
        <w:rPr>
          <w:lang w:val="es-AR" w:eastAsia="es-AR" w:bidi="es-AR"/>
        </w:rPr>
        <w:t xml:space="preserve">Sentado lo anterior, he de analizar el primer fundamento del accionante para pedir el cese de la cuota, que estuvo apoyado primordialmente en que su hija alcanzó la mayoría de  21 años. </w:t>
      </w:r>
    </w:p>
    <w:p>
      <w:pPr>
        <w:pStyle w:val="[Normal]"/>
        <w:spacing w:line="360" w:lineRule="auto"/>
        <w:ind w:firstLine="1134"/>
        <w:jc w:val="both"/>
        <w:rPr>
          <w:lang w:val="es-AR" w:eastAsia="es-AR" w:bidi="es-AR"/>
        </w:rPr>
      </w:pPr>
      <w:r>
        <w:rPr>
          <w:lang w:val="es-AR" w:eastAsia="es-AR" w:bidi="es-AR"/>
        </w:rPr>
        <w:t xml:space="preserve">Sin embargo, se acreditó por parte de la progenitora primero y luego por la joven, que la misma se encuentra cursando estudios a fin de continuar con su formación profesional, cursando el último año del secundario en la </w:t>
      </w:r>
      <w:r>
        <w:rPr>
          <w:lang w:val="es-AR" w:eastAsia="es-AR" w:bidi="es-AR"/>
        </w:rPr>
        <w:t xml:space="preserve">CENS 451 de Colón al momento de inicio de la causa (PDF agregado en presentación de fecha 13/6/2023) y actualmente como alumna regular del Instituto Superior de formación, cursando la Técnicatura de acompañamiento terapeútico </w:t>
      </w:r>
      <w:r>
        <w:rPr>
          <w:lang w:val="es-AR" w:eastAsia="es-AR" w:bidi="es-AR"/>
        </w:rPr>
        <w:t xml:space="preserve">(contestación oficio del 6/4/2024). </w:t>
      </w:r>
    </w:p>
    <w:p>
      <w:pPr>
        <w:pStyle w:val="[Normal]"/>
        <w:spacing w:line="360" w:lineRule="auto"/>
        <w:ind w:firstLine="1134"/>
        <w:jc w:val="both"/>
        <w:rPr>
          <w:lang w:val="es-AR" w:eastAsia="es-AR" w:bidi="es-AR"/>
        </w:rPr>
      </w:pPr>
      <w:r>
        <w:rPr>
          <w:lang w:val="es-AR" w:eastAsia="es-AR" w:bidi="es-AR"/>
        </w:rPr>
        <w:t xml:space="preserve">Esta última circunstancia acreditada en autos, hace primar la excepción prevista en el art. 663 del C.C.C.N., que prevé la obligación de los progenitores de proveer recursos al hijo subsistente hasta que éste alcance la edad de 25 años, si la prosecución de estudios o preparación profesional de un arte o oficio, le impide proveerse de medios necesarios para sostenerse independientemente, y este extremo, no ha sido rebatido en autos por el incidentista.</w:t>
      </w:r>
    </w:p>
    <w:p>
      <w:pPr>
        <w:pStyle w:val="[Normal]"/>
        <w:spacing w:line="360" w:lineRule="auto"/>
        <w:ind w:firstLine="1134"/>
        <w:jc w:val="both"/>
        <w:rPr>
          <w:lang w:val="es-AR" w:eastAsia="es-AR" w:bidi="es-AR"/>
        </w:rPr>
      </w:pPr>
      <w:r>
        <w:rPr>
          <w:lang w:val="es-AR" w:eastAsia="es-AR" w:bidi="es-AR"/>
        </w:rPr>
        <w:t xml:space="preserve">Al contrario, con el informe socioambiental adjuntado el 13/9/2024 realizado por C S R, Perito trabajadora Social del Juzgado de Paz Letrado de Colón, se ha acreditado las condiciones de la vivienda, y el grupo familiar conviviente de las demandadas, quienes bajo el mismo techo viven cuatro generaciones, dejándose constancias en las conclusiones que la joven L.V.G.P. utiliza el aporte alimentario realizado por el Sr. G  para cubrir los gastos de estudios. </w:t>
      </w:r>
    </w:p>
    <w:p>
      <w:pPr>
        <w:pStyle w:val="[Normal]"/>
        <w:spacing w:line="360" w:lineRule="auto"/>
        <w:ind w:firstLine="1134"/>
        <w:jc w:val="both"/>
        <w:rPr>
          <w:lang w:val="es-AR" w:eastAsia="es-AR" w:bidi="es-AR"/>
        </w:rPr>
      </w:pPr>
      <w:r>
        <w:rPr>
          <w:lang w:val="es-AR" w:eastAsia="es-AR" w:bidi="es-AR"/>
        </w:rPr>
        <w:t xml:space="preserve">Por lo hasta aquí expuesto, y demostrado la excepcionalidad prevista en el código fondal, resulta procedente confirmar el rechazo del pedido de cese de la cuota alimentaria.</w:t>
      </w:r>
    </w:p>
    <w:p>
      <w:pPr>
        <w:pStyle w:val="[Normal]"/>
        <w:spacing w:line="360" w:lineRule="auto"/>
        <w:ind w:firstLine="1134"/>
        <w:jc w:val="both"/>
        <w:rPr>
          <w:lang w:val="es-AR" w:eastAsia="es-AR" w:bidi="es-AR"/>
        </w:rPr>
      </w:pPr>
      <w:r>
        <w:rPr>
          <w:lang w:val="es-AR" w:eastAsia="es-AR" w:bidi="es-AR"/>
        </w:rPr>
        <w:t xml:space="preserve">IV.-</w:t>
      </w:r>
      <w:r>
        <w:rPr>
          <w:b/>
          <w:lang w:val="es-AR" w:eastAsia="es-AR" w:bidi="es-AR"/>
        </w:rPr>
        <w:t xml:space="preserve"> Reducción de cuota</w:t>
      </w:r>
      <w:r>
        <w:rPr>
          <w:lang w:val="es-AR" w:eastAsia="es-AR" w:bidi="es-AR"/>
        </w:rPr>
        <w:t xml:space="preserve">: Distinta solución cabe al pedido de reducción formulado por el incidentista, toda vez que "En la determinación de la cuota de alimentos debe tenerse principalmente en cuenta las necesidades del beneficiario y los ingresos del alimentante, y en su cuantificación debe formularse una ecuación que compatibilice unas y otras.  Desde la óptica de las primeras, se requiere que la cuota satisfaga las necesidades vitales del alimentado, comprendiendo lo necesario para su subsistencia, habitación, vestimenta, asistencia médica, educación y demás requerimientos morales y culturales. Desde el punto de vista de lo segundo, hay que atender a las posibilidades económicas del alimentante" (CC0002 MO 34906 RSI-552-95 S 28-12-1995).-</w:t>
      </w:r>
    </w:p>
    <w:p>
      <w:pPr>
        <w:pStyle w:val="[Normal]"/>
        <w:spacing w:line="360" w:lineRule="auto"/>
        <w:ind w:firstLine="1134"/>
        <w:jc w:val="both"/>
        <w:rPr>
          <w:lang w:val="es-AR" w:eastAsia="es-AR" w:bidi="es-AR"/>
        </w:rPr>
      </w:pPr>
      <w:r>
        <w:rPr>
          <w:lang w:val="es-AR" w:eastAsia="es-AR" w:bidi="es-AR"/>
        </w:rPr>
        <w:t xml:space="preserve">Así también sostuvimos en varios antecedentes que "el quantum de la prestación alimentaria debe determinarse atendiendo el interés superior del niño y su derecho al sustento y a un nivel de vida adecuado para su desarrollo físico, mental, espiritual, moral y social (art. 75 inc. 22 CN, art. 1 y 2  CCy C, arts. 3 inc. 1, 6, 24, 27 inc. 1, 28, 31  Y ccs. de la Convención sobre los Derechos del Niño). </w:t>
      </w:r>
    </w:p>
    <w:p>
      <w:pPr>
        <w:pStyle w:val="[Normal]"/>
        <w:spacing w:line="360" w:lineRule="auto"/>
        <w:ind w:firstLine="1134"/>
        <w:jc w:val="both"/>
        <w:rPr>
          <w:lang w:val="es-AR" w:eastAsia="es-AR" w:bidi="es-AR"/>
        </w:rPr>
      </w:pPr>
      <w:r>
        <w:rPr>
          <w:lang w:val="es-AR" w:eastAsia="es-AR" w:bidi="es-AR"/>
        </w:rPr>
        <w:t xml:space="preserve">Las pautas para establecer el monto de la prestación alimentaria a que tiene derecho el menor parten del sistema de igualdad de padre y madre que establece la normativa fondal incidiendo en ello la situación económica de las partes, pues el deber de contribución de los padres al sostenimiento de los hijos comunes es en proporción a sus recursos (arts. 646, 648 y. 455 del Código Civil y Comercial).  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spacing w:line="360" w:lineRule="auto"/>
        <w:ind w:firstLine="1134"/>
        <w:jc w:val="both"/>
        <w:rPr>
          <w:lang w:val="es-AR" w:eastAsia="es-AR" w:bidi="es-AR"/>
        </w:rPr>
      </w:pPr>
      <w:r>
        <w:rPr>
          <w:lang w:val="es-AR" w:eastAsia="es-AR" w:bidi="es-AR"/>
        </w:rPr>
        <w:t xml:space="preserve">Para analizar la capacidad económica del alimentante he de considerar que el progenitor tiene 42 años de edad, y se encuentra transitando la plena etapa laborativa, es propietario de su vivienda, en donde convive con su concubina que se desempeña como empleada doméstica y es madre de sus otras dos hijas menores que tienen en común. Ambos progenitores contribuyen al sostenimiento económico de la vivienda familiar. El Sr. G mantiene su trabajo en relación de dependencia en la empresa Equipamientos Bracco, percibiendo un salario que le permite afrontar su obligación alimentaria tanto de su primer hija como las que llegaron con su nueva pareja. Ello surge de la prueba informativa obrante en autos (PDF 2/1/2024) y del recibo de sueldo agregado con la contestación de oficio de fecha 29/2/2024.</w:t>
      </w:r>
    </w:p>
    <w:p>
      <w:pPr>
        <w:pStyle w:val="[Normal]"/>
        <w:spacing w:line="360" w:lineRule="auto"/>
        <w:ind w:firstLine="1134"/>
        <w:jc w:val="both"/>
        <w:rPr>
          <w:lang w:val="es-AR" w:eastAsia="es-AR" w:bidi="es-AR"/>
        </w:rPr>
      </w:pPr>
      <w:r>
        <w:rPr>
          <w:lang w:val="es-AR" w:eastAsia="es-AR" w:bidi="es-AR"/>
        </w:rPr>
        <w:t xml:space="preserve">De lo informado por la Asistente social  (dictamen agregado el 29/8/2024) se desprende que, el grupo familiar allí detallado reside en la vivienda</w:t>
      </w:r>
      <w:r>
        <w:rPr>
          <w:i/>
          <w:lang w:val="es-AR" w:eastAsia="es-AR" w:bidi="es-AR"/>
        </w:rPr>
        <w:t xml:space="preserve"> "... que es propiedad del Sr G, el mismo refiere que luego del fallecimiento de su progenitor, hace 10 meses atrás, su madre le habría comprado dicha vivienda. La misma esta construida en ladrillos revocados, piso de cerámica, aberturas de aluminio y chapa. Consta de una ambiente pequeño utilizado como cocina, living -comedor, dos habitaciones,  baño y garaje."</w:t>
      </w:r>
      <w:r>
        <w:rPr>
          <w:lang w:val="es-AR" w:eastAsia="es-AR" w:bidi="es-AR"/>
        </w:rPr>
        <w:t xml:space="preserve"> En cuanto a la situación económica refiere; </w:t>
      </w:r>
      <w:r>
        <w:rPr>
          <w:i/>
          <w:lang w:val="es-AR" w:eastAsia="es-AR" w:bidi="es-AR"/>
        </w:rPr>
        <w:t xml:space="preserve"> "... el entrevistado que sus únicos ingresos son los provenientes de su actividad  laboral como empleado formal en la fabrica "Bracco Equipamientos" cuyo monto ronda los $800.000 mensuales. Con relación  a la Sra. F , refiere posee  trabajo  informal, realizando tareas de limpieza en casas de familia, percibiendo un ingreso semanal variable entre los $ 25.000 a $ 30.000 .En cuanto  los gastos fijos podemos describir : Gastos de servicios básicos $ 50.000 Gas envasado $20.000 Cuota total del colegio de los menores $ 56.000 Cuotas de club y actividades deportivas $ 17.000."</w:t>
      </w:r>
    </w:p>
    <w:p>
      <w:pPr>
        <w:pStyle w:val="[Normal]"/>
        <w:spacing w:line="360" w:lineRule="auto"/>
        <w:ind w:firstLine="1134"/>
        <w:jc w:val="both"/>
        <w:rPr>
          <w:lang w:val="es-AR" w:eastAsia="es-AR" w:bidi="es-AR"/>
        </w:rPr>
      </w:pPr>
      <w:r>
        <w:rPr>
          <w:lang w:val="es-AR" w:eastAsia="es-AR" w:bidi="es-AR"/>
        </w:rPr>
        <w:t xml:space="preserve">También ha de puntualizarse que corresponde a ambos progenitores en la proporción de sus respectivos ingresos la obligación alimentaria, debiendo considerarse la contribución de la progenitora con quien vive la joven de manera principal (doctr. art. 650 y ccs. del CCC), pues ella realiza aportes en especie de significación económica, además de la atención que presta a la hija en los múltiples requerimientos cotidianos, y que implica una inversión de tiempo a la que debe atribuírsele valor.- </w:t>
      </w:r>
    </w:p>
    <w:p>
      <w:pPr>
        <w:pStyle w:val="[Normal]"/>
        <w:spacing w:line="360" w:lineRule="auto"/>
        <w:ind w:firstLine="1134"/>
        <w:jc w:val="both"/>
        <w:rPr>
          <w:lang w:val="es-AR" w:eastAsia="es-AR" w:bidi="es-AR"/>
        </w:rPr>
      </w:pPr>
      <w:r>
        <w:rPr>
          <w:lang w:val="es-AR" w:eastAsia="es-AR" w:bidi="es-AR"/>
        </w:rPr>
        <w:t xml:space="preserve">Analizando la situación particular de la beneficiaria he de señalar que estamos frente a una señorita de 23 años de edad que se encuentra cursando una Tecnicatura en acompañamiento terapéutico, en el Instituto Superior de Formación Docente/técnico, de la ciudad de Colón, misma ciudad en donde reside con su madre, es decir que no posee mayores gastos de traslado ni de vivienda por su formación académica (arts. 658, 646 y 663 del CCCN).-</w:t>
      </w:r>
    </w:p>
    <w:p>
      <w:pPr>
        <w:pStyle w:val="[Normal]"/>
        <w:spacing w:line="360" w:lineRule="auto"/>
        <w:ind w:firstLine="1134"/>
        <w:jc w:val="both"/>
        <w:rPr>
          <w:lang w:val="es-AR" w:eastAsia="es-AR" w:bidi="es-AR"/>
        </w:rPr>
      </w:pPr>
      <w:r>
        <w:rPr>
          <w:lang w:val="es-AR" w:eastAsia="es-AR" w:bidi="es-AR"/>
        </w:rPr>
        <w:t xml:space="preserve">Debe considerarse que la hija se encuentra en la franja etaria prevista entre los 21 a 25 años, donde se contempla la obligación alimentaria para el caso de que se demuestre la prosecución de estudios o preparación profesional y que ello le impida proveerse de medios necesarios para sostenerse independientemente (art. 663 del C.C.C.N), y esto último no se ha acreditado de manera suficiente en autos, pues todo lo contrario, ha quedado demostrado que percibe una asignación por hijo.-</w:t>
      </w:r>
    </w:p>
    <w:p>
      <w:pPr>
        <w:pStyle w:val="[Normal]"/>
        <w:spacing w:line="360" w:lineRule="auto"/>
        <w:ind w:firstLine="1134"/>
        <w:jc w:val="both"/>
        <w:rPr>
          <w:lang w:val="es-AR" w:eastAsia="es-AR" w:bidi="es-AR"/>
        </w:rPr>
      </w:pPr>
      <w:r>
        <w:rPr>
          <w:lang w:val="es-AR" w:eastAsia="es-AR" w:bidi="es-AR"/>
        </w:rPr>
        <w:t xml:space="preserve">Hemos dicho desde aquí que  ..."la cuota alimentaria se mantiene inalterable en tanto subsistan los presupuestos de hecho en virtud de los cuales se la fijó, circunscribiéndose la posibilidad de modificación al cambio de circunstancias en que fuera fundada, ya por la variación del caudal de las partes o la modificación del estado de necesidad del alimentario" (CC0000 PE C 2091 RSI-311-96 I 17/12/1996 JUBA B2800945).- (Cap N° 2964 RSD 128/19).</w:t>
      </w:r>
    </w:p>
    <w:p>
      <w:pPr>
        <w:pStyle w:val="[Normal]"/>
        <w:spacing w:line="360" w:lineRule="auto"/>
        <w:ind w:firstLine="1134"/>
        <w:jc w:val="both"/>
        <w:rPr>
          <w:lang w:val="es-AR" w:eastAsia="es-AR" w:bidi="es-AR"/>
        </w:rPr>
      </w:pPr>
      <w:r>
        <w:rPr>
          <w:lang w:val="es-AR" w:eastAsia="es-AR" w:bidi="es-AR"/>
        </w:rPr>
        <w:t xml:space="preserve">Y en el caso, cuando fue determinada la cuota en el 20 % de los haberes del progenitor, en el año 2016 la beneficiaria L.V.G.P. contaba con 14 años de edad, cursando la plena adolescencia. Se observa del informe socioambiental, que las demandadas viven todas en la casa de la abuela materna -Sra. G- en una vivienda de su propiedad.  Y en el caso particular de la menor de 23 años de edad posee ingresos a fin de cubrir sus necesidades alimentarias. "... A lo que respecta a su hija V, la misma declara percibir $120.000 en concepto de  cuota de alimentos de su progenitor, ademas de recibir la  AUH de  $119.000". (Cfr. Informe de fecha 13/9/2024)</w:t>
      </w:r>
    </w:p>
    <w:p>
      <w:pPr>
        <w:pStyle w:val="[Normal]"/>
        <w:spacing w:line="360" w:lineRule="auto"/>
        <w:ind w:firstLine="1134"/>
        <w:jc w:val="both"/>
        <w:rPr>
          <w:lang w:val="es-AR" w:eastAsia="es-AR" w:bidi="es-AR"/>
        </w:rPr>
      </w:pPr>
      <w:r>
        <w:rPr>
          <w:lang w:val="es-AR" w:eastAsia="es-AR" w:bidi="es-AR"/>
        </w:rPr>
        <w:t xml:space="preserve">Otro cambio importante en cuanto a las circunstancias tenidas en cuenta al momento de fijar los alimentos definitivos, es lo que respecta al alimentado y sus cargas de familia, pues el Sr. G con su nueva concubina tiene dos hijos menores de 10 y 14 años. Si bien tal circunstancia no debe repercutir de manera directa en su obligación alimentaria para con su hija anterior, si indudablemente influye en la capacidad económica del alimentante.</w:t>
      </w:r>
    </w:p>
    <w:p>
      <w:pPr>
        <w:pStyle w:val="[Normal]"/>
        <w:spacing w:line="360" w:lineRule="auto"/>
        <w:ind w:firstLine="1134"/>
        <w:jc w:val="both"/>
        <w:rPr>
          <w:lang w:val="es-AR" w:eastAsia="es-AR" w:bidi="es-AR"/>
        </w:rPr>
      </w:pPr>
      <w:r>
        <w:rPr>
          <w:lang w:val="es-AR" w:eastAsia="es-AR" w:bidi="es-AR"/>
        </w:rPr>
        <w:t xml:space="preserve">Dicho lo anterior, he de considerar que todas las cuestiones hasta aquí apuntadas, dejan en evidencia un claro cambio en la plataforma fáctica considerada por el a quo al momento de fijar los alimentos definitivos, y ante el pedido formulado por el incidentista, y la falta de prueba agregada por la alimentada, me llevan a considerar necesaria un reducción en la carga alimentaria del progenitor.</w:t>
      </w:r>
    </w:p>
    <w:p>
      <w:pPr>
        <w:pStyle w:val="[Normal]"/>
        <w:spacing w:line="360" w:lineRule="auto"/>
        <w:ind w:firstLine="1134"/>
        <w:jc w:val="both"/>
        <w:rPr>
          <w:lang w:val="es-AR" w:eastAsia="es-AR" w:bidi="es-AR"/>
        </w:rPr>
      </w:pPr>
      <w:r>
        <w:rPr>
          <w:lang w:val="es-AR" w:eastAsia="es-AR" w:bidi="es-AR"/>
        </w:rPr>
        <w:t xml:space="preserve">Cabe mencionar que "por sus especiales características y su naturaleza esencialmente asistencial, el derecho de pedir alimentos presenta una particular fisonomía de la que se desprende, entre otros caracteres, el de ser circunstancial y variable, al estar estrechamente ligado a los presupuestos de hecho que lo condicionan.  De ahí entonces, que la sentencia que reconoce y cuantifica ese derecho, no causa estado, en el sentido de que puede modificarse en la medida que cambie la plataforma fáctica tenida en cuenta por el Juez al pronunciarse (conf. Morello-Passi Lanza-Sosa-Berizonce: “Códigos…” 1ª. ed. vol. VII, pág. 290/291 y 355 ap. “a”), o cuando los hechos en los cuales se funda la pretendida modificación, aún siendo anteriores al tiempo de la sentencia, no hayan podido ser alegados y probados en razón de la limitación que el trámite del juicio impone a las partes, lo que deberá ser debidamente justificado por el interesado (conf. Fenochietto-Arazi: “Código Procesal…”, Ed. Astrea, vol. III, pág. 302, ap. 3º; Jorge L. Kielmanovich: “Incidentes de aumento, reducción, cesación y coparticipación de la cuota alimentaria”, J.A. 1990-II, pág. 813, V, 817 (45) y jurisprudencia allí citada; esta Sala, causa A43.535, reg. sent. 255/95)" (CC0201 LP 118400 RSD 16/15 S 03/03/2015B251844, JUBA B251844).-</w:t>
      </w:r>
    </w:p>
    <w:p>
      <w:pPr>
        <w:pStyle w:val="[Normal]"/>
        <w:spacing w:line="360" w:lineRule="auto"/>
        <w:ind w:firstLine="1134"/>
        <w:jc w:val="both"/>
        <w:rPr>
          <w:lang w:val="es-AR" w:eastAsia="es-AR" w:bidi="es-AR"/>
        </w:rPr>
      </w:pPr>
      <w:r>
        <w:rPr>
          <w:lang w:val="es-AR" w:eastAsia="es-AR" w:bidi="es-AR"/>
        </w:rPr>
        <w:t xml:space="preserve">En consecuencia a todo lo expuesto hasta aquí y luego de un análisis estimativo y razonable del art. 659 del Código Civil y Comercial, ajustado a las circunstancias de autos (edad de la joven, modalidad de cuidado de la misma, contexto económico general, etc.), ponderando por un lado que la cuota debe guardar relación con las necesidades que tiende a cubrir y la aptitud del obligado para llenar tal finalidad, estimo razonable y propongo como resolución reducir el porcentaje de la cuota establecida en la instancia de origen fijándola en el 15% de los ingresos del demandado  (arts. 163, 164, 165 y 384, C.P.C.C.).-</w:t>
      </w:r>
    </w:p>
    <w:p>
      <w:pPr>
        <w:pStyle w:val="[Normal]"/>
        <w:spacing w:line="360" w:lineRule="auto"/>
        <w:ind w:firstLine="1134"/>
        <w:jc w:val="both"/>
        <w:rPr>
          <w:lang w:val="es-AR" w:eastAsia="es-AR" w:bidi="es-AR"/>
        </w:rPr>
      </w:pPr>
      <w:r>
        <w:rPr>
          <w:lang w:val="es-AR" w:eastAsia="es-AR" w:bidi="es-AR"/>
        </w:rPr>
        <w:t xml:space="preserve">Finalmente en materia de costas, esta Alzada ha aplicado reiteradamente el criterio de que en materia de alimentos, son en principio a cargo del alimentante pues de lo contrario se desvirtuaría la esencia de la prestación, al gravarse cuotas cuya percepción se presume como una necesidad de subsistencia (confr. causas  C-6376, RSD 36/08; Nº 735/10 RSD 11/11; Nº 1571/12 RSD 51/13, Nº 2020 RSI 39 del 13/3/14,ent. ots.). Es que se trata de resguardar la incolumnidad que debe guardar la prestación debida en razón de su destino. Por ello, para apartarse de este principio, es necesario que la parte alimentada haya obrado sin razón o con una negligencia manifiesta al formular su pretensión (Cám.Civ. y Com. sala 2 SM causa 58119 RSD 193/06 ; sumario JUBA B 200360).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H.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w:t>
      </w:r>
      <w:r>
        <w:rPr>
          <w:b/>
          <w:lang w:val="es-AR" w:eastAsia="es-AR" w:bidi="es-AR"/>
        </w:rPr>
        <w:t xml:space="preserve">SEGUNDA CUESTION</w:t>
      </w:r>
      <w:r>
        <w:rPr>
          <w:lang w:val="es-AR" w:eastAsia="es-AR" w:bidi="es-AR"/>
        </w:rPr>
        <w:t xml:space="preserve"> el señor Juez Roberto M.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reduciendo el porcentaje que debe abonar el demandado y fijándolo desde aquí en el 15% de los haberes que percibe como empleado de Equipamientos Bracco S.A., importe que deberá ser depositado en la cuenta judicial abierta a nombre de autos en el Banco de la Provincia de Buenos Aires Suc. Centro de Pergamino (arts. 658, 659, y 660 del Código Civil y Comercial). Confirmando en todo lo demás la sentencia de grado.-</w:t>
      </w:r>
    </w:p>
    <w:p>
      <w:pPr>
        <w:pStyle w:val="[Normal]"/>
        <w:spacing w:line="360" w:lineRule="auto"/>
        <w:ind w:firstLine="1134"/>
        <w:jc w:val="both"/>
        <w:rPr>
          <w:lang w:val="es-AR" w:eastAsia="es-AR" w:bidi="es-AR"/>
        </w:rPr>
      </w:pPr>
      <w:r>
        <w:rPr>
          <w:lang w:val="es-AR" w:eastAsia="es-AR" w:bidi="es-AR"/>
        </w:rPr>
        <w:t xml:space="preserve">Con costas al alimentante (arts.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para cuando obre en autos base firme para ello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H.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reduciendo el porcentaje que debe abonar el actor y fijándolo desde aquí en el 15% de los haberes que percibe como empleado de Equipamientos Bracco S.A., importe que deberá ser depositado en la cuenta judicial abierta a nombre de autos en el Banco de la Provincia de Buenos Aires Suc. Centro de Pergamino (arts. 658, 659, y 660 del Código Civil y Comercial). Confirmando en todo lo demás la sentencia de grado.-</w:t>
      </w:r>
    </w:p>
    <w:p>
      <w:pPr>
        <w:pStyle w:val="[Normal]"/>
        <w:spacing w:line="360" w:lineRule="auto"/>
        <w:ind w:firstLine="1134"/>
        <w:jc w:val="both"/>
        <w:rPr>
          <w:lang w:val="es-AR" w:eastAsia="es-AR" w:bidi="es-AR"/>
        </w:rPr>
      </w:pPr>
      <w:r>
        <w:rPr>
          <w:lang w:val="es-AR" w:eastAsia="es-AR" w:bidi="es-AR"/>
        </w:rPr>
        <w:t xml:space="preserve">Con costas al alimentante (arts.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para cuando obre en autos base firme para ello (art. 31 de la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 </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