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5732-25</w:t>
      </w:r>
      <w:r>
        <w:rPr>
          <w:lang w:val="es-AR" w:eastAsia="es-AR" w:bidi="es-AR"/>
        </w:rPr>
        <w:t xml:space="preserve"> caratulada </w:t>
      </w:r>
      <w:r>
        <w:rPr>
          <w:b/>
          <w:lang w:val="es-AR" w:eastAsia="es-AR" w:bidi="es-AR"/>
        </w:rPr>
        <w:t xml:space="preserve">"</w:t>
      </w:r>
      <w:r>
        <w:rPr>
          <w:b/>
          <w:color w:val="000000"/>
          <w:lang w:val="es-AR" w:eastAsia="es-AR" w:bidi="es-AR"/>
        </w:rPr>
        <w:t xml:space="preserve">ALEGRE RUBEN ALBERTO RAMON C/ VOLKSWAGEN S.A. DE AH. PARA FINES DET  Y OTRO/A S/ DAÑOS Y PERJ. INCUMP. CONTRACTUAL (EXC. ESTADO)</w:t>
      </w:r>
      <w:r>
        <w:rPr>
          <w:b/>
          <w:lang w:val="es-AR" w:eastAsia="es-AR" w:bidi="es-AR"/>
        </w:rPr>
        <w:t xml:space="preserve">"</w:t>
      </w:r>
      <w:r>
        <w:rPr>
          <w:lang w:val="es-AR" w:eastAsia="es-AR" w:bidi="es-AR"/>
        </w:rPr>
        <w:t xml:space="preserve">, Expte. N° 88716</w:t>
      </w:r>
      <w:r>
        <w:rPr>
          <w:color w:val="000000"/>
          <w:lang w:val="es-AR" w:eastAsia="es-AR" w:bidi="es-AR"/>
        </w:rPr>
        <w:t xml:space="preserve"> </w:t>
      </w:r>
      <w:r>
        <w:rPr>
          <w:lang w:val="es-AR" w:eastAsia="es-AR" w:bidi="es-AR"/>
        </w:rPr>
        <w:t xml:space="preserve">del Juzgado Civil y Comercial N° 2,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de la anterior sede rechazó la demanda instaurada por Rubén Alberto Alegre. Dispuso el cese de la medida cautelar dictada en los autos “ALEGRE RUBEN ALBERTO RAMON C/ VOLKSWAGEN S.A. DE AHORRO PARA FINES DETERMINADOS Y OTRO/A S/ MEDIDAS CAUTELARES (TRABA/LEVANTAMIENTO)”, Expte. N° 88358. Impuso las costas al actor perdidoso.  Difirió la regulación de honorarios.</w:t>
      </w:r>
    </w:p>
    <w:p>
      <w:pPr>
        <w:pStyle w:val="[Normal]"/>
        <w:spacing w:line="360" w:lineRule="auto"/>
        <w:ind w:firstLine="1134"/>
        <w:jc w:val="both"/>
        <w:rPr>
          <w:lang w:val="es-AR" w:eastAsia="es-AR" w:bidi="es-AR"/>
        </w:rPr>
      </w:pPr>
      <w:r>
        <w:rPr>
          <w:lang w:val="es-AR" w:eastAsia="es-AR" w:bidi="es-AR"/>
        </w:rPr>
        <w:t xml:space="preserve">Apela el apoderado de la actora el 3-6-2025, recurso concedido en relación el 4-6-2025, fundándolo el 11-6-2025, se da traslado del memorial a las demandadas, contestando las partes en sendas presentaciones en fecha 18-6-2025.</w:t>
      </w:r>
    </w:p>
    <w:p>
      <w:pPr>
        <w:pStyle w:val="[Normal]"/>
        <w:spacing w:line="360" w:lineRule="auto"/>
        <w:ind w:firstLine="1134"/>
        <w:jc w:val="both"/>
        <w:rPr>
          <w:lang w:val="es-AR" w:eastAsia="es-AR" w:bidi="es-AR"/>
        </w:rPr>
      </w:pPr>
      <w:r>
        <w:rPr>
          <w:lang w:val="es-AR" w:eastAsia="es-AR" w:bidi="es-AR"/>
        </w:rPr>
        <w:t xml:space="preserve">Ingresados los autos a este Tribunal el 23-6-2025, se dicta el llamamiento de autos para resolver el 26-6-2025, suspendido el 3-7-2025 y reanudado el 17-7-2025.</w:t>
      </w:r>
    </w:p>
    <w:p>
      <w:pPr>
        <w:pStyle w:val="[Normal]"/>
        <w:spacing w:line="360" w:lineRule="auto"/>
        <w:jc w:val="both"/>
        <w:rPr>
          <w:color w:val="000000"/>
          <w:lang w:val="es-AR" w:eastAsia="es-AR" w:bidi="es-AR"/>
        </w:rPr>
      </w:pPr>
      <w:r>
        <w:rPr>
          <w:b/>
          <w:lang w:val="es-AR" w:eastAsia="es-AR" w:bidi="es-AR"/>
        </w:rPr>
        <w:t xml:space="preserve"> </w:t>
      </w:r>
      <w:r>
        <w:rPr>
          <w:color w:val="000000"/>
          <w:lang w:val="es-AR" w:eastAsia="es-AR" w:bidi="es-AR"/>
        </w:rPr>
        <w:t xml:space="preserve"> 	A la hora de expresar sus agravios, la parte actora se duele de que el egreso del accionante respecto al grupo destinado a la adquisición de una camioneta AMAROK para ingresar al grupo correspondiente a un vehículo TAOS, constituyó una violación al mandato de buena fe durante la etapa de formación el contrato. </w:t>
      </w:r>
    </w:p>
    <w:p>
      <w:pPr>
        <w:pStyle w:val="[Normal]"/>
        <w:spacing w:line="360" w:lineRule="auto"/>
        <w:jc w:val="both"/>
        <w:rPr>
          <w:color w:val="000000"/>
          <w:lang w:val="es-AR" w:eastAsia="es-AR" w:bidi="es-AR"/>
        </w:rPr>
      </w:pPr>
      <w:r>
        <w:rPr>
          <w:color w:val="000000"/>
          <w:lang w:val="es-AR" w:eastAsia="es-AR" w:bidi="es-AR"/>
        </w:rPr>
        <w:t xml:space="preserve"> 	Al respecto, amplía que la información</w:t>
      </w:r>
      <w:r>
        <w:rPr>
          <w:lang w:val="es-AR" w:eastAsia="es-AR" w:bidi="es-AR"/>
        </w:rPr>
        <w:t xml:space="preserve"> que emana del documento en cuestión resulta absolutamente insuficiente y deficitaria para tomar un conocimiento acabado y completo del negocio que la contraparte pretendía instrumentar. Especifica que dicho déficit no radica sólo en la </w:t>
      </w:r>
      <w:r>
        <w:rPr>
          <w:rStyle w:val="U"/>
          <w:u w:val="none"/>
          <w:lang w:val="es-AR" w:eastAsia="es-AR" w:bidi="es-AR"/>
        </w:rPr>
        <w:t xml:space="preserve">cláusula de reenvío</w:t>
      </w:r>
      <w:r>
        <w:rPr>
          <w:lang w:val="es-AR" w:eastAsia="es-AR" w:bidi="es-AR"/>
        </w:rPr>
        <w:t xml:space="preserve"> que contiene el documento, por la que se acepta de conformidad los términos de la Solicitud de Adhesión oportunamente suscripta por la cedente, sino también en la ausencia de determinación concreta respecto a las particularidades de la operación y a la falta de entrega de un ejemplar suscripto.	</w:t>
        <w:br w:type="textWrapping"/>
      </w:r>
      <w:r>
        <w:rPr>
          <w:lang w:val="es-AR" w:eastAsia="es-AR" w:bidi="es-AR"/>
        </w:rPr>
        <w:t xml:space="preserve"> 	Asimismo aduce que el Formulario de Cesión de Derechos firmado por el actor fue suscripto con espacios en blanco que fueron completados con posterioridad a la firma. Puntualiza que la certificación de firma data del </w:t>
      </w:r>
      <w:r>
        <w:rPr>
          <w:rStyle w:val="U"/>
          <w:u w:val="none"/>
          <w:lang w:val="es-AR" w:eastAsia="es-AR" w:bidi="es-AR"/>
        </w:rPr>
        <w:t xml:space="preserve">12/04/2022</w:t>
      </w:r>
      <w:r>
        <w:rPr>
          <w:lang w:val="es-AR" w:eastAsia="es-AR" w:bidi="es-AR"/>
        </w:rPr>
        <w:t xml:space="preserve">, mientras que el instrumento se encuentra fechado </w:t>
      </w:r>
      <w:r>
        <w:rPr>
          <w:rStyle w:val="U"/>
          <w:u w:val="none"/>
          <w:lang w:val="es-AR" w:eastAsia="es-AR" w:bidi="es-AR"/>
        </w:rPr>
        <w:t xml:space="preserve">26/04/2022. Y que lo propio </w:t>
      </w:r>
      <w:r>
        <w:rPr>
          <w:lang w:val="es-AR" w:eastAsia="es-AR" w:bidi="es-AR"/>
        </w:rPr>
        <w:t xml:space="preserve">cabe señalar respecto del formulario de cesión de derechos suscripto por la Sra. Garachana, por cuanto el sello de certificación notarial data del </w:t>
      </w:r>
      <w:r>
        <w:rPr>
          <w:rStyle w:val="U"/>
          <w:u w:val="none"/>
          <w:lang w:val="es-AR" w:eastAsia="es-AR" w:bidi="es-AR"/>
        </w:rPr>
        <w:t xml:space="preserve">07/04/2022</w:t>
      </w:r>
      <w:r>
        <w:rPr>
          <w:lang w:val="es-AR" w:eastAsia="es-AR" w:bidi="es-AR"/>
        </w:rPr>
        <w:t xml:space="preserve">, en tanto que el contenido del instrumento fue adicionado el </w:t>
      </w:r>
      <w:r>
        <w:rPr>
          <w:rStyle w:val="U"/>
          <w:u w:val="none"/>
          <w:lang w:val="es-AR" w:eastAsia="es-AR" w:bidi="es-AR"/>
        </w:rPr>
        <w:t xml:space="preserve">26/04/2022</w:t>
      </w:r>
      <w:r>
        <w:rPr>
          <w:lang w:val="es-AR" w:eastAsia="es-AR" w:bidi="es-AR"/>
        </w:rPr>
        <w:t xml:space="preserve"> (oportunidad en la que se adicionan los datos de Alegre como comprador). Colige que a dicho descalce temporal es posible adicionar que resulta materialmente imposible que, al momento en que Garachana suscribió la cesión (</w:t>
      </w:r>
      <w:r>
        <w:rPr>
          <w:rStyle w:val="U"/>
          <w:u w:val="none"/>
          <w:lang w:val="es-AR" w:eastAsia="es-AR" w:bidi="es-AR"/>
        </w:rPr>
        <w:t xml:space="preserve">07/04/2022</w:t>
      </w:r>
      <w:r>
        <w:rPr>
          <w:lang w:val="es-AR" w:eastAsia="es-AR" w:bidi="es-AR"/>
        </w:rPr>
        <w:t xml:space="preserve">), estuvieran consignados los datos de Alegre como comprador, toda vez que su mandante recién se vio involucrado en la operatoria el día </w:t>
      </w:r>
      <w:r>
        <w:rPr>
          <w:rStyle w:val="U"/>
          <w:u w:val="none"/>
          <w:lang w:val="es-AR" w:eastAsia="es-AR" w:bidi="es-AR"/>
        </w:rPr>
        <w:t xml:space="preserve">12/04/2022</w:t>
      </w:r>
      <w:r>
        <w:rPr>
          <w:lang w:val="es-AR" w:eastAsia="es-AR" w:bidi="es-AR"/>
        </w:rPr>
        <w:t xml:space="preserve"> (según certificación notarial detallada en el párrafo que antecede).</w:t>
      </w:r>
    </w:p>
    <w:p>
      <w:pPr>
        <w:pStyle w:val="[Normal]"/>
        <w:spacing w:line="360" w:lineRule="auto"/>
        <w:jc w:val="both"/>
        <w:rPr>
          <w:color w:val="000000"/>
          <w:lang w:val="es-AR" w:eastAsia="es-AR" w:bidi="es-AR"/>
        </w:rPr>
      </w:pPr>
      <w:r>
        <w:rPr>
          <w:color w:val="000000"/>
          <w:lang w:val="es-AR" w:eastAsia="es-AR" w:bidi="es-AR"/>
        </w:rPr>
        <w:t xml:space="preserve"> 	Conjetura que la cuestión de los espacios en blanco permite evidenciar que la operación de cesión no fue libremente concertada entre las partes y que hubo un interés de ALRA S.A. en su perfeccionamiento.</w:t>
      </w:r>
    </w:p>
    <w:p>
      <w:pPr>
        <w:pStyle w:val="[Normal]"/>
        <w:spacing w:line="360" w:lineRule="auto"/>
        <w:jc w:val="both"/>
        <w:rPr>
          <w:color w:val="000000"/>
          <w:lang w:val="es-AR" w:eastAsia="es-AR" w:bidi="es-AR"/>
        </w:rPr>
      </w:pPr>
      <w:r>
        <w:rPr>
          <w:color w:val="000000"/>
          <w:lang w:val="es-AR" w:eastAsia="es-AR" w:bidi="es-AR"/>
        </w:rPr>
        <w:t xml:space="preserve">También se queja de que no fue tenido en cuenta por el a quo el desconocimiento del contenido correspondiente al instrumento "Solicitud de reserva de Contrato Autoahorro Volkswagen", con espacios en blanco y que carece de fecha cierta.</w:t>
      </w:r>
    </w:p>
    <w:p>
      <w:pPr>
        <w:pStyle w:val="[Normal]"/>
        <w:spacing w:line="360" w:lineRule="auto"/>
        <w:jc w:val="both"/>
        <w:rPr>
          <w:lang w:val="es-AR" w:eastAsia="es-AR" w:bidi="es-AR"/>
        </w:rPr>
      </w:pPr>
      <w:r>
        <w:rPr>
          <w:color w:val="000000"/>
          <w:lang w:val="es-AR" w:eastAsia="es-AR" w:bidi="es-AR"/>
        </w:rPr>
        <w:t xml:space="preserve"> 	Arguye que en </w:t>
      </w:r>
      <w:r>
        <w:rPr>
          <w:rStyle w:val="STRONG"/>
          <w:b w:val="off"/>
          <w:lang w:val="es-AR" w:eastAsia="es-AR" w:bidi="es-AR"/>
        </w:rPr>
        <w:t xml:space="preserve">todo momento el actor se desenvolvió bajo la legítima expectativa (representación mental) de estar actuando en el marco de un plan de ahorros destinado a la adquisición de un producto AMAROK. Y que tal convicción encuentra su razón de ser en que nunca se le explicó adecuadamente que se encontraba realizando una compleja operación consistente en la compra de un plan de ahorros dos veces caído con 9 cuotas pagas (cuyo objeto era un producto modelo TAOS), seguido en una modificación en el objeto de contratación (de TAOS a AMAROK) y posterior compensación de valores por la diferencia de precio existente entre ambos productos</w:t>
      </w:r>
      <w:r>
        <w:rPr>
          <w:lang w:val="es-AR" w:eastAsia="es-AR" w:bidi="es-AR"/>
        </w:rPr>
        <w:t xml:space="preserve">. Sobre el particular, señala que en fecha </w:t>
      </w:r>
      <w:r>
        <w:rPr>
          <w:rStyle w:val="U"/>
          <w:u w:val="none"/>
          <w:lang w:val="es-AR" w:eastAsia="es-AR" w:bidi="es-AR"/>
        </w:rPr>
        <w:t xml:space="preserve">23/03/2022</w:t>
      </w:r>
      <w:r>
        <w:rPr>
          <w:lang w:val="es-AR" w:eastAsia="es-AR" w:bidi="es-AR"/>
        </w:rPr>
        <w:t xml:space="preserve"> el Sr. ALEGRE suscribe la Solicitud de Adhesión 643954 destinada a la compra de un producto AMAROK (respecto de la cual nunca supo a qué Grupo y Orden se lo incorporó) y, </w:t>
      </w:r>
      <w:r>
        <w:rPr>
          <w:rStyle w:val="U"/>
          <w:u w:val="none"/>
          <w:lang w:val="es-AR" w:eastAsia="es-AR" w:bidi="es-AR"/>
        </w:rPr>
        <w:t xml:space="preserve">veinte días corridos después</w:t>
      </w:r>
      <w:r>
        <w:rPr>
          <w:lang w:val="es-AR" w:eastAsia="es-AR" w:bidi="es-AR"/>
        </w:rPr>
        <w:t xml:space="preserve">, en fecha </w:t>
      </w:r>
      <w:r>
        <w:rPr>
          <w:rStyle w:val="U"/>
          <w:u w:val="none"/>
          <w:lang w:val="es-AR" w:eastAsia="es-AR" w:bidi="es-AR"/>
        </w:rPr>
        <w:t xml:space="preserve">12/04/2022</w:t>
      </w:r>
      <w:r>
        <w:rPr>
          <w:lang w:val="es-AR" w:eastAsia="es-AR" w:bidi="es-AR"/>
        </w:rPr>
        <w:t xml:space="preserve">, aparece realizando una operación relativa al Grupo 6351 – Orden 16 (destinado a la compra de un producto TAOS).</w:t>
      </w:r>
    </w:p>
    <w:p>
      <w:pPr>
        <w:pStyle w:val="[Normal]"/>
        <w:spacing w:line="360" w:lineRule="auto"/>
        <w:jc w:val="both"/>
        <w:rPr>
          <w:lang w:val="es-AR" w:eastAsia="es-AR" w:bidi="es-AR"/>
        </w:rPr>
      </w:pPr>
      <w:r>
        <w:rPr>
          <w:lang w:val="es-AR" w:eastAsia="es-AR" w:bidi="es-AR"/>
        </w:rPr>
        <w:t xml:space="preserve"> 	En otro orden, apunta que </w:t>
      </w:r>
      <w:r>
        <w:rPr>
          <w:rStyle w:val="U"/>
          <w:u w:val="none"/>
          <w:lang w:val="es-AR" w:eastAsia="es-AR" w:bidi="es-AR"/>
        </w:rPr>
        <w:t xml:space="preserve">el a quo somete al actor a un estándar de profesionalidad y conocimiento que no posee</w:t>
      </w:r>
      <w:r>
        <w:rPr>
          <w:lang w:val="es-AR" w:eastAsia="es-AR" w:bidi="es-AR"/>
        </w:rPr>
        <w:t xml:space="preserve">. En este sentido, puntualiza que si bien su representado se desempeña como encargado de producción en una empresa avícola, su función es el monitoreo y mantenimiento de la maquinaria utilizada para elaborar el alimento balanceado que ingieren las gallinas ponedoras. Y que </w:t>
      </w:r>
      <w:r>
        <w:rPr>
          <w:rStyle w:val="STRONG"/>
          <w:b w:val="off"/>
          <w:lang w:val="es-AR" w:eastAsia="es-AR" w:bidi="es-AR"/>
        </w:rPr>
        <w:t xml:space="preserve">ello no le proporciona un conocimiento específico y técnico en materia contractual, ni experiencia en el mundo de los negocios</w:t>
      </w:r>
      <w:r>
        <w:rPr>
          <w:lang w:val="es-AR" w:eastAsia="es-AR" w:bidi="es-AR"/>
        </w:rPr>
        <w:t xml:space="preserve">. Afirma que aún suponiendo que la operatoria de adquisición de un plan caído relativo a un producto diferente y posterior modificación del objeto de contratación fue válida, en ningún momento se informó de manera adecuada </w:t>
      </w:r>
      <w:r>
        <w:rPr>
          <w:rStyle w:val="U"/>
          <w:u w:val="none"/>
          <w:lang w:val="es-AR" w:eastAsia="es-AR" w:bidi="es-AR"/>
        </w:rPr>
        <w:t xml:space="preserve">cómo se compensaría la diferencia de precio entre los productos involucrados</w:t>
      </w:r>
      <w:r>
        <w:rPr>
          <w:lang w:val="es-AR" w:eastAsia="es-AR" w:bidi="es-AR"/>
        </w:rPr>
        <w:t xml:space="preserve"> (TAOS y AMAROK); jamás se explicitó </w:t>
      </w:r>
      <w:r>
        <w:rPr>
          <w:rStyle w:val="U"/>
          <w:u w:val="none"/>
          <w:lang w:val="es-AR" w:eastAsia="es-AR" w:bidi="es-AR"/>
        </w:rPr>
        <w:t xml:space="preserve">cuál era el valor móvil del producto TAOS</w:t>
      </w:r>
      <w:r>
        <w:rPr>
          <w:lang w:val="es-AR" w:eastAsia="es-AR" w:bidi="es-AR"/>
        </w:rPr>
        <w:t xml:space="preserve"> (al menos un valor de referencia al momento en el que se efectuó el aparente cambio de modelo); y </w:t>
      </w:r>
      <w:r>
        <w:rPr>
          <w:rStyle w:val="U"/>
          <w:u w:val="none"/>
          <w:lang w:val="es-AR" w:eastAsia="es-AR" w:bidi="es-AR"/>
        </w:rPr>
        <w:t xml:space="preserve">nunca se le informó al actor cuáles eran los mecanismos de compensación disponibles, ni se le dio la posibilidad de optar entre ellos</w:t>
      </w:r>
      <w:r>
        <w:rPr>
          <w:lang w:val="es-AR" w:eastAsia="es-AR" w:bidi="es-AR"/>
        </w:rPr>
        <w:t xml:space="preserve">. </w:t>
      </w:r>
    </w:p>
    <w:p>
      <w:pPr>
        <w:pStyle w:val="[Normal]"/>
        <w:spacing w:line="360" w:lineRule="auto"/>
        <w:jc w:val="both"/>
        <w:rPr>
          <w:lang w:val="es-AR" w:eastAsia="es-AR" w:bidi="es-AR"/>
        </w:rPr>
      </w:pPr>
      <w:r>
        <w:rPr>
          <w:lang w:val="es-AR" w:eastAsia="es-AR" w:bidi="es-AR"/>
        </w:rPr>
        <w:t xml:space="preserve"> 	Considera que la mera circunstancia de que el contrato prevea o reconozca esta facultad resulta insuficiente para que el ahorrista tome conocimiento asertivo y cabal de las opciones de compensación previstas. Entiende que la empresa proveedora (parte fuerte de la relación jurídica, dotada de conocimiento técnico y especializado en la temática), debía comunicar la circunstancia al ahorrista e informarle las opciones de compensación previstas en el contrato base, para que pueda optar libremente entre ellas. </w:t>
      </w:r>
    </w:p>
    <w:p>
      <w:pPr>
        <w:pStyle w:val="[Normal]"/>
        <w:spacing w:line="360" w:lineRule="auto"/>
        <w:jc w:val="both"/>
        <w:rPr>
          <w:lang w:val="es-AR" w:eastAsia="es-AR" w:bidi="es-AR"/>
        </w:rPr>
      </w:pPr>
      <w:r>
        <w:rPr>
          <w:lang w:val="es-AR" w:eastAsia="es-AR" w:bidi="es-AR"/>
        </w:rPr>
        <w:t xml:space="preserve"> 	Por otra parte, controvierte la aplicación judicial de la teoría de los actos propios en el entendimiento de que el a quo omitió considerar que el art. 266 del CCyC expresamente dispone que </w:t>
      </w:r>
      <w:r>
        <w:rPr>
          <w:rStyle w:val="EM"/>
          <w:lang w:val="es-AR" w:eastAsia="es-AR" w:bidi="es-AR"/>
        </w:rPr>
        <w:t xml:space="preserve">“</w:t>
      </w:r>
      <w:r>
        <w:rPr>
          <w:rStyle w:val="U"/>
          <w:i/>
          <w:u w:val="none"/>
          <w:lang w:val="es-AR" w:eastAsia="es-AR" w:bidi="es-AR"/>
        </w:rPr>
        <w:t xml:space="preserve">El error es reconocible cuando el destinatario de la declaración lo pudo conocer según la naturaleza del acto, las circunstancias de persona, tiempo y lugar</w:t>
      </w:r>
      <w:r>
        <w:rPr>
          <w:rStyle w:val="EM"/>
          <w:lang w:val="es-AR" w:eastAsia="es-AR" w:bidi="es-AR"/>
        </w:rPr>
        <w:t xml:space="preserve">”</w:t>
      </w:r>
      <w:r>
        <w:rPr>
          <w:lang w:val="es-AR" w:eastAsia="es-AR" w:bidi="es-AR"/>
        </w:rPr>
        <w:t xml:space="preserve">. En sustento de ello, refiere que </w:t>
      </w:r>
      <w:r>
        <w:rPr>
          <w:rStyle w:val="STRONG"/>
          <w:b w:val="off"/>
          <w:lang w:val="es-AR" w:eastAsia="es-AR" w:bidi="es-AR"/>
        </w:rPr>
        <w:t xml:space="preserve">es menester hacer hincapié en que el vínculo existente con los demandados se desarrolló bajo un manto de </w:t>
      </w:r>
      <w:r>
        <w:rPr>
          <w:rStyle w:val="U"/>
          <w:u w:val="none"/>
          <w:lang w:val="es-AR" w:eastAsia="es-AR" w:bidi="es-AR"/>
        </w:rPr>
        <w:t xml:space="preserve">ambigüedad y opacidad</w:t>
      </w:r>
      <w:r>
        <w:rPr>
          <w:rStyle w:val="STRONG"/>
          <w:b w:val="off"/>
          <w:lang w:val="es-AR" w:eastAsia="es-AR" w:bidi="es-AR"/>
        </w:rPr>
        <w:t xml:space="preserve"> que le impidió a su representado tener un conocimiento cierto, acabado y completo de la situación en la que se encontraba inserto y de los documentos a los que se recurrió para su instrumentación</w:t>
      </w:r>
      <w:r>
        <w:rPr>
          <w:lang w:val="es-AR" w:eastAsia="es-AR" w:bidi="es-AR"/>
        </w:rPr>
        <w:t xml:space="preserve">.</w:t>
      </w:r>
    </w:p>
    <w:p>
      <w:pPr>
        <w:pStyle w:val="[Normal]"/>
        <w:spacing w:line="360" w:lineRule="auto"/>
        <w:jc w:val="both"/>
        <w:rPr>
          <w:lang w:val="es-AR" w:eastAsia="es-AR" w:bidi="es-AR"/>
        </w:rPr>
      </w:pPr>
      <w:r>
        <w:rPr>
          <w:lang w:val="es-AR" w:eastAsia="es-AR" w:bidi="es-AR"/>
        </w:rPr>
        <w:t xml:space="preserve"> 	Niega que en autos haya habido omisiones u ocultamientos de su poderdante. Dice que lo que hubo fue ignorancia sobre la existencia y el contenido de los actos e instrumentos a los que las accionadas han recurrido para intentar revestir bajo una apariencia de validez y legitimidad una operación que el demandante nunca quiso realizar.	</w:t>
        <w:br w:type="textWrapping"/>
      </w:r>
      <w:r>
        <w:rPr>
          <w:lang w:val="es-AR" w:eastAsia="es-AR" w:bidi="es-AR"/>
        </w:rPr>
        <w:t xml:space="preserve"> 	Plantea </w:t>
      </w:r>
      <w:r>
        <w:rPr>
          <w:rStyle w:val="STRONG"/>
          <w:b w:val="off"/>
          <w:lang w:val="es-AR" w:eastAsia="es-AR" w:bidi="es-AR"/>
        </w:rPr>
        <w:t xml:space="preserve">subsidiariamente, para el hipotético y eventual caso que se considere que corresponda confirmar el rechazo del pedido de adecuación formulado en el escrito de inicio, que se modifique la sentencia de grado en lo relativo al reclamo indemnizatorio allí contenido y, en consecuencia, se condene a ALRA S.A. y VOLKSWAGEN S.A. DE AH. PARA FINES DET. a la reparación de los perjuicios ocasionados al actor y se imponga la multa civil oportunamente requerida</w:t>
      </w:r>
      <w:r>
        <w:rPr>
          <w:lang w:val="es-AR" w:eastAsia="es-AR" w:bidi="es-AR"/>
        </w:rPr>
        <w:t xml:space="preserve">.	</w:t>
        <w:br w:type="textWrapping"/>
      </w:r>
      <w:r>
        <w:rPr>
          <w:lang w:val="es-AR" w:eastAsia="es-AR" w:bidi="es-AR"/>
        </w:rPr>
        <w:t xml:space="preserve"> 	</w:t>
      </w:r>
      <w:r>
        <w:rPr>
          <w:lang w:val="es-AR" w:eastAsia="es-AR" w:bidi="es-AR"/>
        </w:rPr>
        <w:t xml:space="preserve">Entrando a resolver advierto que la cuestión sometida a revisión puede descomponerse en tres aspectos fundamentales.  El primero de ellos -de tipo esencial y originario- radica en determinar la existencia o no de responsabilidad de las codemandadas por falta cumplimiento del contrato de ahorro previo celebrado con la parte actora.  El segundo -condicionado a la previa verificación positiva del aspecto anterior- versa sobre la procedencia y extensión de los rubros indemnizatorios reclamados, a saber: daño moral y daño punitivo.  Finalmente, el tercero -de tipo accesorio y subderivado de la suerte de los anteriores- se vincula a la imposición de costas por la condena dispuesta en la instancia de grado.-</w:t>
      </w:r>
    </w:p>
    <w:p>
      <w:pPr>
        <w:pStyle w:val="[Normal]"/>
        <w:spacing w:line="360" w:lineRule="auto"/>
        <w:ind w:firstLine="1134"/>
        <w:jc w:val="both"/>
        <w:rPr>
          <w:lang w:val="es-AR" w:eastAsia="es-AR" w:bidi="es-AR"/>
        </w:rPr>
      </w:pPr>
      <w:r>
        <w:rPr>
          <w:lang w:val="es-AR" w:eastAsia="es-AR" w:bidi="es-AR"/>
        </w:rPr>
        <w:t xml:space="preserve">Por razones de orden lógico, el presente análisis discurrirá sobre la secuencia de referencia, adoptando un tratamiento metodológico separado o conjunto de los agravios expresados en función del grado de interrelación que presenten los mismos sobre los diferentes aspectos pasibles de crítica.-</w:t>
      </w:r>
    </w:p>
    <w:p>
      <w:pPr>
        <w:pStyle w:val="[Normal]"/>
        <w:spacing w:line="360" w:lineRule="auto"/>
        <w:ind w:firstLine="1134"/>
        <w:jc w:val="both"/>
        <w:rPr>
          <w:lang w:val="es-AR" w:eastAsia="es-AR" w:bidi="es-AR"/>
        </w:rPr>
      </w:pPr>
      <w:r>
        <w:rPr>
          <w:lang w:val="es-AR" w:eastAsia="es-AR" w:bidi="es-AR"/>
        </w:rPr>
        <w:t xml:space="preserve">En forma preliminar, dada la complejidad del entramado fáctico y jurídico implicado en la causa sometida a tratamiento, considero adecuado efectuar un encuadramiento normativo de la relación de consumo que se ha pergeñado entre las partes.-</w:t>
      </w:r>
    </w:p>
    <w:p>
      <w:pPr>
        <w:pStyle w:val="[Normal]"/>
        <w:spacing w:line="360" w:lineRule="auto"/>
        <w:ind w:firstLine="1134"/>
        <w:jc w:val="both"/>
        <w:rPr>
          <w:lang w:val="es-AR" w:eastAsia="es-AR" w:bidi="es-AR"/>
        </w:rPr>
      </w:pPr>
      <w:r>
        <w:rPr>
          <w:lang w:val="es-AR" w:eastAsia="es-AR" w:bidi="es-AR"/>
        </w:rPr>
        <w:t xml:space="preserve">Sobre esta base, es menester dejar sentado que: </w:t>
      </w:r>
      <w:r>
        <w:rPr>
          <w:i/>
          <w:lang w:val="es-AR" w:eastAsia="es-AR" w:bidi="es-AR"/>
        </w:rPr>
        <w:t xml:space="preserve">"...</w:t>
      </w:r>
      <w:r>
        <w:rPr>
          <w:lang w:val="es-AR" w:eastAsia="es-AR" w:bidi="es-AR"/>
        </w:rPr>
        <w:t xml:space="preserve"> </w:t>
      </w:r>
      <w:r>
        <w:rPr>
          <w:i/>
          <w:lang w:val="es-AR" w:eastAsia="es-AR" w:bidi="es-AR"/>
        </w:rPr>
        <w:t xml:space="preserve">Los denominados "planes de ahorro previo para fines determinados" constituyen contratos atípicos y complejos mediante los cuales un sujeto, denominado suscriptor, paga una cantidad de dinero en cuotas anticipadas, a los fines de la adquisición de un bien (en el caso, automotor), la que tendrá lugar en el futuro, una vez que se cumplan con las condiciones de adquisición pactadas, de sorteo o de licitación (conf. Lorenzetti, Ricardo L., "Tratado de los contratos", T.I, Ed. Rubinzal-Culzoni, 2004, pág. 747 y ss.; Rinessi, Antonio Juan, "Relación de consumo y derechos del consumidor", Ed. Astrea, Bs. As., 2006 pág. 393 y ss.).  El contrato de ahorro previo es un contrato por adhesión a cláusulas predispuestas o condiciones generales, de suerte que su configuración interna es establecida anticipadamente sólo por una de las partes (predisponente, profesional, proveedor, empresario, etc.), y si la otra decide contratar, debe hacerlo sobre la base de aquel contenido (conf. Brodsky, Jonathan M., "Las obligaciones contractuales y la sujeción a los términos del acuerdo en los contrato de ahorro previo", nota pub. en La Ley on line Cita Online: AR/DOC/353/2018) - Del mismo modo, el contrato de ahorro previo es también, típicamente, un contrato de consumo, conforme las pautas que surgen de la ley 24.240 y del art. 1092 del Código Civil y Comercial de la Nación. Así, los suscriptores del plan de ahorro previo, que buscan adquirir un bien (aquí, un vehículo 0 km) como "destinatarios finales", encuadran dentro del art. 1° de la LDC y, en consecuencia, están tutelados por la LDC (conf. Junyent Bas, Francisco, "Ejes del sistema de capitalización y ahorro previo para fines determinados. La tutela del consumidor en la compraventa de automóviles", nota pub. en La Ley on line, Cita Online: AR/DOC/1044/2019). En otras palabras, los suscriptores al Plan de Ahorro previo son consumidores en los términos del art. 1° de la ley 24.240</w:t>
      </w:r>
      <w:r>
        <w:rPr>
          <w:lang w:val="es-AR" w:eastAsia="es-AR" w:bidi="es-AR"/>
        </w:rPr>
        <w:t xml:space="preserve">..." ( Cámara de Apelación en lo Civil y Comercial, Sala Tercera, en acuerdo ordinario, a efectos de dictar sentencia en autos: "Llano Maximiliano Jorge c/ Volkswagen S. A. y otro / Daños y Perjuicios ).-</w:t>
      </w:r>
    </w:p>
    <w:p>
      <w:pPr>
        <w:pStyle w:val="[Normal]"/>
        <w:spacing w:line="360" w:lineRule="auto"/>
        <w:ind w:firstLine="1134"/>
        <w:jc w:val="both"/>
        <w:rPr>
          <w:lang w:val="es-AR" w:eastAsia="es-AR" w:bidi="es-AR"/>
        </w:rPr>
      </w:pPr>
      <w:r>
        <w:rPr>
          <w:lang w:val="es-AR" w:eastAsia="es-AR" w:bidi="es-AR"/>
        </w:rPr>
        <w:t xml:space="preserve">Dilucidados los principales ejes conceptuales, sociológicos y jurídicos en torno a los cuales debe ser estudiada la problemática relativa a la responsabilidad de los organizadores de un plan de ahorro, he de adentrarme en el análisis de los agravios vertidos por las partes en relación a la temática aludida.-</w:t>
      </w:r>
    </w:p>
    <w:p>
      <w:pPr>
        <w:pStyle w:val="[Normal]"/>
        <w:spacing w:line="360" w:lineRule="auto"/>
        <w:jc w:val="both"/>
        <w:rPr>
          <w:lang w:val="es-AR" w:eastAsia="es-AR" w:bidi="es-AR"/>
        </w:rPr>
      </w:pPr>
      <w:r>
        <w:rPr>
          <w:lang w:val="es-AR" w:eastAsia="es-AR" w:bidi="es-AR"/>
        </w:rPr>
        <w:t xml:space="preserve"> 	I.- Ingresando al tratamiento del primer agravio dirigido contra el tramo de la sentencia que tuvo por válida y eficaz la cesión con la que el actor egresó del grupo destinado a AMAROK para incorporarse al grupo cuyo modelo base es TAOS en franca vulneración al principio de buena fe en la etapa precontractual y que la documentación resultó insuficiente, he de entender que el estándar aplicado no se ha visto resentido en el caso concreto. 	</w:t>
        <w:br w:type="textWrapping"/>
      </w:r>
      <w:r>
        <w:rPr>
          <w:lang w:val="es-AR" w:eastAsia="es-AR" w:bidi="es-AR"/>
        </w:rPr>
        <w:t xml:space="preserve"> 	En este aspecto, es oportuno referir que la buena fe (arts. 9 y 961 CCyC) opera como pauta de conducta objetiva y presunta, desplazable sólo mediante prueba concreta.	 </w:t>
        <w:br w:type="textWrapping"/>
      </w:r>
      <w:r>
        <w:rPr>
          <w:lang w:val="es-AR" w:eastAsia="es-AR" w:bidi="es-AR"/>
        </w:rPr>
        <w:t xml:space="preserve"> 	En contratos por adhesión (arts. 984 y 985 CCyC) la claridad y autosuficiencia del instrumento deben verificarse en el caso, y la eventual remisión a condiciones generales no entregadas no determina por sí sola la ineficacia: el interesado debe acreditar la falta de acceso a esas condiciones. 	</w:t>
        <w:br w:type="textWrapping"/>
      </w:r>
      <w:r>
        <w:rPr>
          <w:lang w:val="es-AR" w:eastAsia="es-AR" w:bidi="es-AR"/>
        </w:rPr>
        <w:t xml:space="preserve"> 	El deber de información (art. 4 LDC) exige demostrar qué dato faltó, por qué era esencial y cómo su ausencia vicia el consentimiento. La nulidad o falta de incorporación contractual de la cláusula cuestionada no es automática sino causal  (art. 37 LDC). 	</w:t>
        <w:br w:type="textWrapping"/>
      </w:r>
      <w:r>
        <w:rPr>
          <w:lang w:val="es-AR" w:eastAsia="es-AR" w:bidi="es-AR"/>
        </w:rPr>
        <w:t xml:space="preserve"> 	Las manifestaciones del apelante relativas a que no se habrían explicado las características principales de la operación, las formas de imputación de los pagos y otros aspectos relevantes, no pueden ser tenidas como razones suficientes para acoger el agravio por varias razones jurídicas y probatorias.</w:t>
      </w:r>
    </w:p>
    <w:p>
      <w:pPr>
        <w:pStyle w:val="[Normal]"/>
        <w:spacing w:line="360" w:lineRule="auto"/>
        <w:jc w:val="both"/>
        <w:rPr>
          <w:lang w:val="es-AR" w:eastAsia="es-AR" w:bidi="es-AR"/>
        </w:rPr>
      </w:pPr>
      <w:r>
        <w:rPr>
          <w:lang w:val="es-AR" w:eastAsia="es-AR" w:bidi="es-AR"/>
        </w:rPr>
        <w:t xml:space="preserve"> 	En primer lugar, se trata de afirmaciones genéricas y carentes de respaldo probatorio concreto. La carga de la prueba (art. 375 CPCC) imponía al consumidor acreditar qué información esencial le fue negada o distorsionada y de qué modo esa omisión afectó su decisión contractual. La sola invocación de que no se </w:t>
      </w:r>
      <w:r>
        <w:rPr>
          <w:i/>
          <w:lang w:val="es-AR" w:eastAsia="es-AR" w:bidi="es-AR"/>
        </w:rPr>
        <w:t xml:space="preserve">"habrían explicado"</w:t>
      </w:r>
      <w:r>
        <w:rPr>
          <w:lang w:val="es-AR" w:eastAsia="es-AR" w:bidi="es-AR"/>
        </w:rPr>
        <w:t xml:space="preserve"> determinados aspectos, sin demostrar su incidencia causal en el consentimiento, no satisface ese estándar.	</w:t>
        <w:br w:type="textWrapping"/>
      </w:r>
      <w:r>
        <w:rPr>
          <w:lang w:val="es-AR" w:eastAsia="es-AR" w:bidi="es-AR"/>
        </w:rPr>
        <w:t xml:space="preserve"> 	En segundo término, la prueba incorporada al expediente revela que el actor suscribió documentos que describían el objeto y la mecánica de la operación, incluyendo la cesión al grupo con modelo base TAOS, la solicitud de reserva y el pedido de cambio de modelo a AMAROK (ver documentación adjunta a escrito de fecha 20/12/23 en la que consta Formulario de Cesión de Derechos, Solicitud de Reserva de Contrato de Autoahorro Volkswagen, Certificacion Notarial Impresiones e Firmas Digitales y Planilla de estado de plan; y documentación acompañada al escrito de demanda de fecha 23/10/2023 en la cual se anexa Solicitud de adhesión N°643954). Tales actos -apreciados globalmente- muestran que las características esenciales y el funcionamiento del plan le eran conocidos, o, al menos, estaban a su disposición para ser conocidos mediante la lectura diligente de los instrumentos.	</w:t>
        <w:br w:type="textWrapping"/>
      </w:r>
      <w:r>
        <w:rPr>
          <w:lang w:val="es-AR" w:eastAsia="es-AR" w:bidi="es-AR"/>
        </w:rPr>
        <w:t xml:space="preserve"> 	En tercer lugar, respecto de la imputación de pagos y demás aspectos económicos, la pericia contable corroboró que las liquidaciones se ajustaron al reglamento del grupo de ahorro, calculadas sobre el valor móvil del modelo base, circunstancia normal y previsible para este tipo de contratos (ver </w:t>
      </w:r>
      <w:r>
        <w:rPr>
          <w:color w:val="000000"/>
          <w:lang w:val="es-AR" w:eastAsia="es-AR" w:bidi="es-AR"/>
        </w:rPr>
        <w:t xml:space="preserve">pericia contable presentada por la perito contadora sorteada en fecha 7/6/2024 presentación nro. 105619546)</w:t>
      </w:r>
      <w:r>
        <w:rPr>
          <w:lang w:val="es-AR" w:eastAsia="es-AR" w:bidi="es-AR"/>
        </w:rPr>
        <w:t xml:space="preserve">. El apelante no aportó prueba que desvirtúe esa conclusión ni demuestren irregularidades concretas en su caso.	</w:t>
        <w:br w:type="textWrapping"/>
      </w:r>
      <w:r>
        <w:rPr>
          <w:lang w:val="es-AR" w:eastAsia="es-AR" w:bidi="es-AR"/>
        </w:rPr>
        <w:t xml:space="preserve">	En cuarto término, cabe observar que la jurisprudencia ha reiterado que la invocación del deber de información (art. 4 LDC) exige precisar el dato omitido, su relevancia para el contrato y el daño o riesgo derivado de su falta. En ausencia de esa demostración, el agravio se agota en meras apreciaciones subjetivas insuficientes para revocar lo decidido.	</w:t>
      </w:r>
    </w:p>
    <w:p>
      <w:pPr>
        <w:pStyle w:val="[Normal]"/>
        <w:spacing w:line="360" w:lineRule="auto"/>
        <w:jc w:val="both"/>
        <w:rPr>
          <w:lang w:val="es-AR" w:eastAsia="es-AR" w:bidi="es-AR"/>
        </w:rPr>
      </w:pPr>
      <w:r>
        <w:rPr>
          <w:lang w:val="es-AR" w:eastAsia="es-AR" w:bidi="es-AR"/>
        </w:rPr>
        <w:t xml:space="preserve"> 	En relación a tal extremo, la Cámara de Apelaciones en lo Civil y Comercial de Azul ha dicho que:</w:t>
      </w:r>
      <w:r>
        <w:rPr>
          <w:i/>
          <w:lang w:val="es-AR" w:eastAsia="es-AR" w:bidi="es-AR"/>
        </w:rPr>
        <w:t xml:space="preserve"> "... es necesario que el autor de ella o de la abstención o reticencia tuviera el deber legal de explicarse; es decir en los casos en que gravita una especial carga de información, teniendo en cuenta la función propia del negocio, </w:t>
      </w:r>
      <w:r>
        <w:rPr>
          <w:b/>
          <w:i/>
          <w:lang w:val="es-AR" w:eastAsia="es-AR" w:bidi="es-AR"/>
        </w:rPr>
        <w:t xml:space="preserve">analizándose la influencia de esa actitud negativa sobre la determinación del negocio de la otra parte</w:t>
      </w:r>
      <w:r>
        <w:rPr>
          <w:i/>
          <w:lang w:val="es-AR" w:eastAsia="es-AR" w:bidi="es-AR"/>
        </w:rPr>
        <w:t xml:space="preserve">, lo que se relaciona con el deber general de cumplir lealmente con la información que el tipo de negocio requiere, frente al error que determina a la otra parte a contratar, siendo el arbitrio judicial quien habrá de atender a la buena fe como estándar calificador del deber de informar"</w:t>
      </w:r>
      <w:r>
        <w:rPr>
          <w:lang w:val="es-AR" w:eastAsia="es-AR" w:bidi="es-AR"/>
        </w:rPr>
        <w:t xml:space="preserve"> (el resaltado me pertenece). (CC0001 AZ 37961 RSD-80-97 S, "CABANNE c/J.C. SUAREZ s/DAÑOS Y PERJUICIOS" 30/06/1997).</w:t>
      </w:r>
    </w:p>
    <w:p>
      <w:pPr>
        <w:pStyle w:val="[Normal]"/>
        <w:spacing w:line="360" w:lineRule="auto"/>
        <w:jc w:val="both"/>
        <w:rPr>
          <w:lang w:val="es-AR" w:eastAsia="es-AR" w:bidi="es-AR"/>
        </w:rPr>
      </w:pPr>
      <w:r>
        <w:rPr>
          <w:lang w:val="es-AR" w:eastAsia="es-AR" w:bidi="es-AR"/>
        </w:rPr>
        <w:t xml:space="preserve"> 	Sobre esta base fáctica y jurídica, es dable descartar la tesis recursiva. Ello así por cuanto: 1) La cesión fue personal y regularmente suscripta por el actor, con certificación notarial; no hubo impugnación idónea de su firma ni articulación de ineficacia formal. 2) Obra además una Solicitud de Reserva que el actor no desconoció con la especificidad técnica que exige el proceso; y un pedido de cambio de modelo suscripto por él, plenamente coherente con la operatoria del plan. 3) La pericia contable corroboró que el grupo 6351-016 tenía TAOS como modelo base (parámetro para el cálculo del “valor móvil”) y que, a pedido del actor, la unidad efectivamente retirada fue una AMAROK, circunstancia documentada con la factura de entrega (</w:t>
      </w:r>
      <w:r>
        <w:rPr>
          <w:color w:val="000000"/>
          <w:lang w:val="es-AR" w:eastAsia="es-AR" w:bidi="es-AR"/>
        </w:rPr>
        <w:t xml:space="preserve">pericia contable presentada por la perito contadora sorteada en fecha 7/6/2024 presentación nro. 105619546)</w:t>
      </w:r>
      <w:r>
        <w:rPr>
          <w:lang w:val="es-AR" w:eastAsia="es-AR" w:bidi="es-AR"/>
        </w:rPr>
        <w:t xml:space="preserve">. No se trata, entonces, de una </w:t>
      </w:r>
      <w:r>
        <w:rPr>
          <w:i/>
          <w:lang w:val="es-AR" w:eastAsia="es-AR" w:bidi="es-AR"/>
        </w:rPr>
        <w:t xml:space="preserve">“mutación clandestina”</w:t>
      </w:r>
      <w:r>
        <w:rPr>
          <w:lang w:val="es-AR" w:eastAsia="es-AR" w:bidi="es-AR"/>
        </w:rPr>
        <w:t xml:space="preserve"> de la relación, sino de la consecuencia normal de adherir -por cesión- a un grupo ya constituido, con su modelo de referencia, y retirar una unidad distinta habilitada por reglamento.</w:t>
      </w:r>
    </w:p>
    <w:p>
      <w:pPr>
        <w:pStyle w:val="[Normal]"/>
        <w:spacing w:line="360" w:lineRule="auto"/>
        <w:jc w:val="both"/>
        <w:rPr>
          <w:lang w:val="es-AR" w:eastAsia="es-AR" w:bidi="es-AR"/>
        </w:rPr>
      </w:pPr>
      <w:r>
        <w:rPr>
          <w:lang w:val="es-AR" w:eastAsia="es-AR" w:bidi="es-AR"/>
        </w:rPr>
        <w:t xml:space="preserve"> 	A la luz de esa evidencia, no se verifica déficit informativo relevante. El formulario de cesión -leído junto con la Solicitud/Reserva y el pedido de cambio de modelo- suministró los datos necesarios para que el adherente comprendiera el alcance del negocio: ingresó a un grupo con base TAOS y retiro de AMAROK por opción. Si el agravio pretendía que la cláusula de reenvío volviera inoponibles las condiciones generales, debió probar que no se le entregaron ni estuvieron materialmente accesibles. Nada de eso fue demostrado. </w:t>
      </w:r>
    </w:p>
    <w:p>
      <w:pPr>
        <w:pStyle w:val="[Normal]"/>
        <w:spacing w:line="360" w:lineRule="auto"/>
        <w:jc w:val="both"/>
        <w:rPr>
          <w:lang w:val="es-AR" w:eastAsia="es-AR" w:bidi="es-AR"/>
        </w:rPr>
      </w:pPr>
      <w:r>
        <w:rPr>
          <w:lang w:val="es-AR" w:eastAsia="es-AR" w:bidi="es-AR"/>
        </w:rPr>
        <w:t xml:space="preserve"> 	Tampoco se acreditó que la supuesta falta de copia o la existencia de </w:t>
      </w:r>
      <w:r>
        <w:rPr>
          <w:i/>
          <w:lang w:val="es-AR" w:eastAsia="es-AR" w:bidi="es-AR"/>
        </w:rPr>
        <w:t xml:space="preserve">“espacios en blanco”</w:t>
      </w:r>
      <w:r>
        <w:rPr>
          <w:lang w:val="es-AR" w:eastAsia="es-AR" w:bidi="es-AR"/>
        </w:rPr>
        <w:t xml:space="preserve"> tradujeran integraciones sustanciales posteriores o inducciones que afectaran la voluntad. La crítica se reduce a conjeturas ex post que no derriban la presunción de buena fe ni la autosuficiencia operativa del paquete documental.	</w:t>
        <w:br w:type="textWrapping"/>
      </w:r>
      <w:r>
        <w:rPr>
          <w:lang w:val="es-AR" w:eastAsia="es-AR" w:bidi="es-AR"/>
        </w:rPr>
        <w:t xml:space="preserve">	En este aspecto, es menester señalar que la certificación notarial confiere al documento el carácter de instrumento público respecto de los extremos propios de la función fedataria -identidad del firmante, fecha y acto de suscripción- y activa una presunción iuris tantum de regularidad y veracidad de lo actuado por el escribano (CCyC, régimen de instrumentos públicos). En ese marco, resulta verosímil sostener que un notario no certificaría una firma en un instrumento con espacios en blanco relevantes sin, al menos, advertirlo a los suscriptores y exigir su inutilización, lo que refuerza la integridad del documento al tiempo de la firma.</w:t>
      </w:r>
    </w:p>
    <w:p>
      <w:pPr>
        <w:pStyle w:val="[Normal]"/>
        <w:spacing w:line="360" w:lineRule="auto"/>
        <w:jc w:val="both"/>
        <w:rPr>
          <w:lang w:val="es-AR" w:eastAsia="es-AR" w:bidi="es-AR"/>
        </w:rPr>
      </w:pPr>
      <w:r>
        <w:rPr>
          <w:lang w:val="es-AR" w:eastAsia="es-AR" w:bidi="es-AR"/>
        </w:rPr>
        <w:t xml:space="preserve"> 	Aun cuando la certificación de firma no implica aval del contenido negocial, traslada al alegante la carga de demostrar que hubo llenado posterior de campos sustanciales. Tal carga probatoria no se satisface con un mero </w:t>
      </w:r>
      <w:r>
        <w:rPr>
          <w:i/>
          <w:lang w:val="es-AR" w:eastAsia="es-AR" w:bidi="es-AR"/>
        </w:rPr>
        <w:t xml:space="preserve">“descalce”</w:t>
      </w:r>
      <w:r>
        <w:rPr>
          <w:lang w:val="es-AR" w:eastAsia="es-AR" w:bidi="es-AR"/>
        </w:rPr>
        <w:t xml:space="preserve"> de fechas o con conjeturas, sino con prueba idónea (pericia técnica sobre tintas, trazos y contemporaneidad; testifical del fedatario o del personal de la escribanía; constancias de “testados” o inserciones, etc.). En ausencia de esa demostración, la presunción de regularidad notarial permanece incólume.</w:t>
      </w:r>
    </w:p>
    <w:p>
      <w:pPr>
        <w:pStyle w:val="[Normal]"/>
        <w:spacing w:line="360" w:lineRule="auto"/>
        <w:jc w:val="both"/>
        <w:rPr>
          <w:lang w:val="es-AR" w:eastAsia="es-AR" w:bidi="es-AR"/>
        </w:rPr>
      </w:pPr>
      <w:r>
        <w:rPr>
          <w:lang w:val="es-AR" w:eastAsia="es-AR" w:bidi="es-AR"/>
        </w:rPr>
        <w:t xml:space="preserve"> 	Además, si el actor firmó en sede notarial, su alegación de </w:t>
      </w:r>
      <w:r>
        <w:rPr>
          <w:i/>
          <w:lang w:val="es-AR" w:eastAsia="es-AR" w:bidi="es-AR"/>
        </w:rPr>
        <w:t xml:space="preserve">“ignorancia excusable”</w:t>
      </w:r>
      <w:r>
        <w:rPr>
          <w:lang w:val="es-AR" w:eastAsia="es-AR" w:bidi="es-AR"/>
        </w:rPr>
        <w:t xml:space="preserve"> se debilita: podía -y debía- leer el instrumento, requerir aclaraciones o rehusar la firma hasta que se inutilizaran los blancos. No lo hizo ni impugnó tempestivamente el instrumento por las vías específicas (p. ej., tacha, nulidad o, en su extremo, querella de falsedad). Ese déficit de diligencia impide desplazar la presunción de integridad del documento y torna insuficiente el agravio.</w:t>
      </w:r>
    </w:p>
    <w:p>
      <w:pPr>
        <w:pStyle w:val="[Normal]"/>
        <w:spacing w:line="360" w:lineRule="auto"/>
        <w:jc w:val="both"/>
        <w:rPr>
          <w:lang w:val="es-AR" w:eastAsia="es-AR" w:bidi="es-AR"/>
        </w:rPr>
      </w:pPr>
      <w:r>
        <w:rPr>
          <w:lang w:val="es-AR" w:eastAsia="es-AR" w:bidi="es-AR"/>
        </w:rPr>
        <w:t xml:space="preserve"> 	La queja tampoco supera el tamiz del nexo causal exigido por la LDC. Aun si se admitiera algún defecto formal, el recurrente no explica qué decisión hubiera sido distinta de haber mediado una información adicional, ni exhibe disonancias económicas o jurídicas que permitan conjeturar un daño por asimetría informativa. Por el contrario, su comportamiento concluyente -licitación, retiro de la AMAROK y pago de cuotas- resulta incompatible con la alegada sorpresa o desconocimiento y activa la regla de los actos propios, que impide desandar en alzada lo que se ejecutó voluntariamente en sede contractual.	</w:t>
        <w:br w:type="textWrapping"/>
      </w:r>
      <w:r>
        <w:rPr>
          <w:lang w:val="es-AR" w:eastAsia="es-AR" w:bidi="es-AR"/>
        </w:rPr>
        <w:t xml:space="preserve">	La invocación genérica de la </w:t>
      </w:r>
      <w:r>
        <w:rPr>
          <w:i/>
          <w:lang w:val="es-AR" w:eastAsia="es-AR" w:bidi="es-AR"/>
        </w:rPr>
        <w:t xml:space="preserve">“buena fe precontractual”</w:t>
      </w:r>
      <w:r>
        <w:rPr>
          <w:lang w:val="es-AR" w:eastAsia="es-AR" w:bidi="es-AR"/>
        </w:rPr>
        <w:t xml:space="preserve"> corre idéntica suerte. No hay indicios objetivos de maniobras capciosas, ocultamientos o desvíos de la confianza legítima. La administración obró conforme a la lógica técnica del sistema: liquidó por el modelo base del grupo (TAOS), entregó la AMAROK elegida por el adherente y documentó el itinerario con instrumentos firmados por éste. En ausencia de prueba robusta -pericial, documental o testimonial- que acredite un obrar disvalioso, el agravio no alcanza el estándar de especificidad crítica que exige la instancia revisora.	</w:t>
        <w:br w:type="textWrapping"/>
      </w:r>
      <w:r>
        <w:rPr>
          <w:lang w:val="es-AR" w:eastAsia="es-AR" w:bidi="es-AR"/>
        </w:rPr>
        <w:t xml:space="preserve"> 	En suma, la parte actora no acreditó los extremos fácticos y jurídicos que invoca. La cesión y el cambio de grupo/modelo se muestran explicables, transparentes y consentidos. No hay violación al deber de buena fe ni insuficiencia informativa de entidad para invalidar el negocio. Corresponde rechazar el agravio y confirmar lo resuelto en origen en este segmento, con costas al apelante vencido (art. 68 CPCC).</w:t>
      </w:r>
    </w:p>
    <w:p>
      <w:pPr>
        <w:pStyle w:val="[Normal]"/>
        <w:spacing w:line="360" w:lineRule="auto"/>
        <w:jc w:val="both"/>
        <w:rPr>
          <w:lang w:val="es-AR" w:eastAsia="es-AR" w:bidi="es-AR"/>
        </w:rPr>
      </w:pPr>
      <w:r>
        <w:rPr>
          <w:lang w:val="es-AR" w:eastAsia="es-AR" w:bidi="es-AR"/>
        </w:rPr>
        <w:t xml:space="preserve"> 	II.- En cuanto al agravio por el cual el actor sostiene que la sola previsión contractual de la facultad de compensación resulta insuficiente para tener por cumplido el deber de información, cabe señalar que el planteo no puede prosperar.</w:t>
      </w:r>
    </w:p>
    <w:p>
      <w:pPr>
        <w:pStyle w:val="[Normal]"/>
        <w:spacing w:line="360" w:lineRule="auto"/>
        <w:jc w:val="both"/>
        <w:rPr>
          <w:lang w:val="es-AR" w:eastAsia="es-AR" w:bidi="es-AR"/>
        </w:rPr>
      </w:pPr>
      <w:r>
        <w:rPr>
          <w:lang w:val="es-AR" w:eastAsia="es-AR" w:bidi="es-AR"/>
        </w:rPr>
        <w:t xml:space="preserve"> 	En el caso, el contrato de adhesión y el reglamento del plan (Solicitud de adhesión N°643954 adjunto a escrito de demanda de fecha 23/10/2023) describen de manera expresa las alternativas de compensación previstas para el supuesto de modificación del bien adjudicado. Dichas estipulaciones no sólo integraban el plexo documental que el actor recibió y suscribió al momento de la cesión, sino que se encontraban redactadas en términos comprensibles, sin que se haya probado la existencia de ambigüedad, tecnicismo excesivo o cláusula abusiva que impidiera su entendimiento.</w:t>
      </w:r>
    </w:p>
    <w:p>
      <w:pPr>
        <w:pStyle w:val="[Normal]"/>
        <w:spacing w:line="360" w:lineRule="auto"/>
        <w:jc w:val="both"/>
        <w:rPr>
          <w:lang w:val="es-AR" w:eastAsia="es-AR" w:bidi="es-AR"/>
        </w:rPr>
      </w:pPr>
      <w:r>
        <w:rPr>
          <w:lang w:val="es-AR" w:eastAsia="es-AR" w:bidi="es-AR"/>
        </w:rPr>
        <w:t xml:space="preserve"> 	El estándar reforzado del deber de información en las relaciones de consumo (arts. 4 y 36 LDC, arts. 961, 1094 y 1100 CCCN) no exige, en todos los casos y necesariamente, que el proveedor efectúe comunicaciones adicionales o personalizadas cuando el contenido esencial de las facultades contractuales ha sido debidamente plasmado en la documentación cláusulas claras y precisas que el consumidor recibe y acepta. </w:t>
      </w:r>
    </w:p>
    <w:p>
      <w:pPr>
        <w:pStyle w:val="[Normal]"/>
        <w:spacing w:line="360" w:lineRule="auto"/>
        <w:jc w:val="both"/>
        <w:rPr>
          <w:lang w:val="es-AR" w:eastAsia="es-AR" w:bidi="es-AR"/>
        </w:rPr>
      </w:pPr>
      <w:r>
        <w:rPr>
          <w:lang w:val="es-AR" w:eastAsia="es-AR" w:bidi="es-AR"/>
        </w:rPr>
        <w:t xml:space="preserve"> 	No se advierte en autos que la administradora haya omitido entregar el reglamento o que haya impedido el acceso del actor a esa información antes de la adjudicación. Tampoco se ha demostrado que el actor requiriera aclaraciones o ejercitara su derecho de opción y que ello le fuera negado.</w:t>
      </w:r>
    </w:p>
    <w:p>
      <w:pPr>
        <w:pStyle w:val="[Normal]"/>
        <w:spacing w:line="360" w:lineRule="auto"/>
        <w:jc w:val="both"/>
        <w:rPr>
          <w:lang w:val="es-AR" w:eastAsia="es-AR" w:bidi="es-AR"/>
        </w:rPr>
      </w:pPr>
      <w:r>
        <w:rPr>
          <w:lang w:val="es-AR" w:eastAsia="es-AR" w:bidi="es-AR"/>
        </w:rPr>
        <w:t xml:space="preserve"> 	En consecuencia, la circunstancia de que la facultad de compensación se encontrara prevista en el contrato resulta determinante para tener por satisfecho el deber de información en el caso concreto respecto a dicho extremo, correspondiendo desestimar este agravio.</w:t>
      </w:r>
    </w:p>
    <w:p>
      <w:pPr>
        <w:pStyle w:val="[Normal]"/>
        <w:spacing w:line="360" w:lineRule="auto"/>
        <w:jc w:val="both"/>
        <w:rPr>
          <w:lang w:val="es-AR" w:eastAsia="es-AR" w:bidi="es-AR"/>
        </w:rPr>
      </w:pPr>
      <w:r>
        <w:rPr>
          <w:lang w:val="es-AR" w:eastAsia="es-AR" w:bidi="es-AR"/>
        </w:rPr>
        <w:t xml:space="preserve"> 	En este marco, y sin desconocer que el art. 4 de la Ley 24.240 impone al proveedor el deber de suministrar información cierta, clara, detallada y comprensible, cabe recordar que la vulneración de tal deber no puede presumirse a partir de meras percepciones subjetivas del contratante, sino que requiere la demostración concreta de la omisión alegada, su carácter esencial y su incidencia causal en el consentimiento (arts. 375 y 384 CPCCBA). En el caso, la documental suscripta por el actor -Formulario de Cesión de Derechos, Solicitud de Reserva de Contrato, pedido de cambio de modelo y reglamento del plan- incorporaba de forma expresa y accesible las estipulaciones relevantes para conocer el alcance de la operación, incluyendo el modelo base del grupo (TAOS) y la opción ejercida por el propio adherente para retirar una unidad AMAROK. No se acreditó la existencia de tecnicismos excesivos, omisiones sustanciales ni cláusulas abusivas que impidieran la comprensión del negocio</w:t>
      </w:r>
    </w:p>
    <w:p>
      <w:pPr>
        <w:pStyle w:val="[Normal]"/>
        <w:spacing w:line="360" w:lineRule="auto"/>
        <w:jc w:val="both"/>
        <w:rPr>
          <w:lang w:val="es-AR" w:eastAsia="es-AR" w:bidi="es-AR"/>
        </w:rPr>
      </w:pPr>
      <w:r>
        <w:rPr>
          <w:lang w:val="es-AR" w:eastAsia="es-AR" w:bidi="es-AR"/>
        </w:rPr>
        <w:t xml:space="preserve"> 	III.- En relación al agravio basado en que el</w:t>
      </w:r>
      <w:r>
        <w:rPr>
          <w:rStyle w:val="STRONG"/>
          <w:b w:val="off"/>
          <w:lang w:val="es-AR" w:eastAsia="es-AR" w:bidi="es-AR"/>
        </w:rPr>
        <w:t xml:space="preserve"> actor se desenvolvió bajo la legítima expectativa de estar actuando en el marco de un plan de ahorros destinado a la adquisición de un producto AMAROK, es menester replicar que la crítica se </w:t>
      </w:r>
      <w:r>
        <w:rPr>
          <w:lang w:val="es-AR" w:eastAsia="es-AR" w:bidi="es-AR"/>
        </w:rPr>
        <w:t xml:space="preserve">apoya en una expectativa subjetiva que cede frente a la realidad documental y la conducta ulterior del propio adherente. </w:t>
      </w:r>
    </w:p>
    <w:p>
      <w:pPr>
        <w:pStyle w:val="[Normal]"/>
        <w:spacing w:line="360" w:lineRule="auto"/>
        <w:jc w:val="both"/>
        <w:rPr>
          <w:lang w:val="es-AR" w:eastAsia="es-AR" w:bidi="es-AR"/>
        </w:rPr>
      </w:pPr>
      <w:r>
        <w:rPr>
          <w:lang w:val="es-AR" w:eastAsia="es-AR" w:bidi="es-AR"/>
        </w:rPr>
        <w:t xml:space="preserve"> 	Esto se debe a que consta reserva del 11/04/2022 y cesión del 12/04/2022 del plan Grupo 6351–Orden 016 -cuyo modelo base era TAOS y venía con 9 cuotas-, pedido de unidad en el que el actor elige AMAROK y la consiguiente compensación de valores por diferencia de modelos. No se negó la firma ni se dedujo nulidad de la cesión; hubo entrega de la AMAROK (07/07/2022) y pagos posteriores, todo lo cual es incompatible con la invocada confusión.</w:t>
      </w:r>
    </w:p>
    <w:p>
      <w:pPr>
        <w:pStyle w:val="[Normal]"/>
        <w:spacing w:line="360" w:lineRule="auto"/>
        <w:jc w:val="both"/>
        <w:rPr>
          <w:lang w:val="es-AR" w:eastAsia="es-AR" w:bidi="es-AR"/>
        </w:rPr>
      </w:pPr>
      <w:r>
        <w:rPr>
          <w:lang w:val="es-AR" w:eastAsia="es-AR" w:bidi="es-AR"/>
        </w:rPr>
        <w:t xml:space="preserve"> 	Como he dicho, la invocación del incumplimiento del deber de información (art. 4 LDC) no se satisface con reproches genéricos ex post: era carga del apelante precisar qué dato esencial faltó y cómo esa omisión vició causalmente su consentimiento en abril de 2022. Aquí hubo instrumentos específicos (reserva, cesión, pedido de unidad) y pericia que ubican el plan en TAOS con solicitud expresa de cambio a AMAROK. A ello se suma que en 2023 el propio letrado del actor gestionó trámites identificándolo como integrante del 6351–016, dato que desbarata la tesis de desconocimiento.</w:t>
      </w:r>
    </w:p>
    <w:p>
      <w:pPr>
        <w:pStyle w:val="[Normal]"/>
        <w:spacing w:line="360" w:lineRule="auto"/>
        <w:jc w:val="both"/>
        <w:rPr>
          <w:lang w:val="es-AR" w:eastAsia="es-AR" w:bidi="es-AR"/>
        </w:rPr>
      </w:pPr>
      <w:r>
        <w:rPr>
          <w:lang w:val="es-AR" w:eastAsia="es-AR" w:bidi="es-AR"/>
        </w:rPr>
        <w:t xml:space="preserve"> 	Tampoco se acreditan vicios del consentimiento: la cesión fue instrumentada con firmas certificadas; no se demostró error esencial y excusable ni dolo informativo. La ejecución del contrato (pedido de cambio, retiro de la unidad, continuidad de pagos) importa convalidación objetiva del negocio.</w:t>
      </w:r>
    </w:p>
    <w:p>
      <w:pPr>
        <w:pStyle w:val="[Normal]"/>
        <w:spacing w:line="360" w:lineRule="auto"/>
        <w:jc w:val="both"/>
        <w:rPr>
          <w:lang w:val="es-AR" w:eastAsia="es-AR" w:bidi="es-AR"/>
        </w:rPr>
      </w:pPr>
      <w:r>
        <w:rPr>
          <w:lang w:val="es-AR" w:eastAsia="es-AR" w:bidi="es-AR"/>
        </w:rPr>
        <w:t xml:space="preserve"> 	Tal proceder encuentra un límite infranqueable en el principio de buena fe (art. 9 del C.C.yC.) a partir del cual se funda la doctrina de los actos propios cuya lógica determina que: </w:t>
      </w:r>
      <w:r>
        <w:rPr>
          <w:i/>
          <w:lang w:val="es-AR" w:eastAsia="es-AR" w:bidi="es-AR"/>
        </w:rPr>
        <w:t xml:space="preserve">"Nadie puede ponerse en contradicción con sus propios actos, ejerciendo una conducta incompatible con una anterior deliberada, jurídicamente relevante y plenamente eficaz"</w:t>
      </w:r>
      <w:r>
        <w:rPr>
          <w:lang w:val="es-AR" w:eastAsia="es-AR" w:bidi="es-AR"/>
        </w:rPr>
        <w:t xml:space="preserve"> (v. SCBA, "Carpinetti, Raúl Jorge c/Fisco de la Prov. de Buenos Aires s/Daños y perjuicios", 17/06/1993).  La consecuencia sistémica que deriva de ello es la desestimación del motivo de queja esgrimido en violación al mentado principio (conf. CAP causas Nº 1962. RSD 84/2013 del 26-8-14, Nº 1426 RSD 181/2012 del 14/8-2014, N° 2959 del 20-12-2018 RSD 199/2018, entre otras). 	</w:t>
      </w:r>
    </w:p>
    <w:p>
      <w:pPr>
        <w:pStyle w:val="[Normal]"/>
        <w:spacing w:line="360" w:lineRule="auto"/>
        <w:jc w:val="both"/>
        <w:rPr>
          <w:lang w:val="es-AR" w:eastAsia="es-AR" w:bidi="es-AR"/>
        </w:rPr>
      </w:pPr>
      <w:r>
        <w:rPr>
          <w:lang w:val="es-AR" w:eastAsia="es-AR" w:bidi="es-AR"/>
        </w:rPr>
        <w:t xml:space="preserve"> 	Finalmente, la operatoria es, además, coherente con la mecánica del sistema de ahorro: plan base TAOS cedido y adjudicado; elección del adherente de retirar AMAROK; y compensación por diferencia de modelos. No hay déficit informativo esencial ni vicio invalidante que torne procedente la queja.</w:t>
      </w:r>
    </w:p>
    <w:p>
      <w:pPr>
        <w:pStyle w:val="[Normal]"/>
        <w:spacing w:line="360" w:lineRule="auto"/>
        <w:jc w:val="both"/>
        <w:rPr>
          <w:lang w:val="es-AR" w:eastAsia="es-AR" w:bidi="es-AR"/>
        </w:rPr>
      </w:pPr>
      <w:r>
        <w:rPr>
          <w:lang w:val="es-AR" w:eastAsia="es-AR" w:bidi="es-AR"/>
        </w:rPr>
        <w:t xml:space="preserve"> 	En consecuencia, corresponde desestimar el agravio y confirmar lo decidido en este segmento.</w:t>
      </w:r>
    </w:p>
    <w:p>
      <w:pPr>
        <w:pStyle w:val="[Normal]"/>
        <w:spacing w:line="360" w:lineRule="auto"/>
        <w:jc w:val="both"/>
        <w:rPr>
          <w:rStyle w:val="U"/>
          <w:u w:val="none"/>
          <w:lang w:val="es-AR" w:eastAsia="es-AR" w:bidi="es-AR"/>
        </w:rPr>
      </w:pPr>
      <w:r>
        <w:rPr>
          <w:lang w:val="es-AR" w:eastAsia="es-AR" w:bidi="es-AR"/>
        </w:rPr>
        <w:t xml:space="preserve"> 	IV.- En lo concerniente al agravio edificado en la circunstancia de que se habría sometido al actor </w:t>
      </w:r>
      <w:r>
        <w:rPr>
          <w:rStyle w:val="U"/>
          <w:u w:val="none"/>
          <w:lang w:val="es-AR" w:eastAsia="es-AR" w:bidi="es-AR"/>
        </w:rPr>
        <w:t xml:space="preserve">a un estándar de profesionalidad y conocimiento que no posee, entiendo que el mismo no puede prosperar.</w:t>
      </w:r>
    </w:p>
    <w:p>
      <w:pPr>
        <w:pStyle w:val="[Normal]"/>
        <w:spacing w:line="360" w:lineRule="auto"/>
        <w:jc w:val="both"/>
        <w:rPr>
          <w:lang w:val="es-AR" w:eastAsia="es-AR" w:bidi="es-AR"/>
        </w:rPr>
      </w:pPr>
      <w:r>
        <w:rPr>
          <w:lang w:val="es-AR" w:eastAsia="es-AR" w:bidi="es-AR"/>
        </w:rPr>
        <w:t xml:space="preserve"> 	Es que la crítica parte de una premisa errónea: la sentencia no impuso al actor un estándar de profesionalidad empresaria, sino la diligencia mínima del consumidor razonable. Ello se compatibiliza con que la operatoria quedó objetivada en instrumentos claros y actos ulteriores: reserva (11/04/2022) y cesión (12/04/2022) del plan Grupo 6351–Orden 016 cuyo bien base era TAOS, y pedido de unidad donde el propio actor requirió AMAROK; luego recibió la unidad (factura 07/07/2022). Nada de ello requiere conocimientos técnicos avanzados, sino lectura básica y consistencia conductual. En la misma línea, el a quo precisó que el principio protectorio no exime al consumidor de cumplir sus obligaciones ni de observar esa diligencia mínima.</w:t>
      </w:r>
    </w:p>
    <w:p>
      <w:pPr>
        <w:pStyle w:val="[Normal]"/>
        <w:spacing w:line="360" w:lineRule="auto"/>
        <w:jc w:val="both"/>
        <w:rPr>
          <w:lang w:val="es-AR" w:eastAsia="es-AR" w:bidi="es-AR"/>
        </w:rPr>
      </w:pPr>
      <w:r>
        <w:rPr>
          <w:lang w:val="es-AR" w:eastAsia="es-AR" w:bidi="es-AR"/>
        </w:rPr>
        <w:t xml:space="preserve"> 	</w:t>
      </w:r>
      <w:r>
        <w:rPr>
          <w:lang w:val="es-AR" w:eastAsia="es-AR" w:bidi="es-AR"/>
        </w:rPr>
        <w:t xml:space="preserve">Insisto, no omito que a esta altura del desarrollo de la doctrina y jurisprudencia en materia consumeril, que la relación contractual que vinculara a las partes de este juicio -celebración de un contrato de mutuo financiero- se encuentra alcanzada por la legislación protectoria de los consumidores, mas también ha de recordarse que se ha decidido, en criterio que comparto, que: </w:t>
      </w:r>
      <w:r>
        <w:rPr>
          <w:i/>
          <w:lang w:val="es-AR" w:eastAsia="es-AR" w:bidi="es-AR"/>
        </w:rPr>
        <w:t xml:space="preserve">"... no resulta pertinente que, por el mero hecho de tratarse de un contrato de tales características, pueda calificárselo como lesivo o tacharlo por abusivo; es que aún cuando pueda ser disímil el poder negocial de los contratantes, aquel régimen tuitivo persigue la protección de los intereses de los consumidores y usuarios frente a conductas disvaliosas de las empresas en el marco de contrataciones sobre bienes y servicios ofrecidos  y volcados al mercado ...; cabe tener presente que la caracterización de parte débil que la doctrina ha asignado a los usuarios y consumidores, y la existencia de un régimen especial de tutela de sus intereses, no importa relevarlos de una conducta responsable y diligente al contratar; menos aún de las obligaciones que derivan de tales convenios; en definitiva, el eventual desajuste entre los procesos volitivo interno y su exteriorización; y la preeminencia que ciertamente ha de reconocerse al primero, no puede traer aparejado un desconocimiento de la influencia limitadora o correctora que, sobre tal preponderancia, ejercen los principios de la autorresponsabilidad, de la buena fe y de la seguridad del tráfico jurídico" </w:t>
      </w:r>
      <w:r>
        <w:rPr>
          <w:lang w:val="es-AR" w:eastAsia="es-AR" w:bidi="es-AR"/>
        </w:rPr>
        <w:t xml:space="preserve">(Cfr.CNCo., Sala D, 20/9/16, CTCCNCom., 2015, sum.nº 2). A ello he de agregar que, más allá de lo valiosa y necesaria que resulta la normativa protectoria en cuestión, la pretensión de enmarcar todo reclamo en ella no puede convertirse en un modo de incumplir obligaciones.</w:t>
      </w:r>
    </w:p>
    <w:p>
      <w:pPr>
        <w:pStyle w:val="[Normal]"/>
        <w:spacing w:line="360" w:lineRule="auto"/>
        <w:jc w:val="both"/>
        <w:rPr>
          <w:lang w:val="es-AR" w:eastAsia="es-AR" w:bidi="es-AR"/>
        </w:rPr>
      </w:pPr>
      <w:r>
        <w:rPr>
          <w:lang w:val="es-AR" w:eastAsia="es-AR" w:bidi="es-AR"/>
        </w:rPr>
        <w:t xml:space="preserve"> 	Tampoco prospera la queja sobre la falta de información relativa a la compensación de valores y al “derecho de opción”. Conforme constancias objetivas y recibos, la diferencia TAOS/AMAROK se compensó mediante la anticipación/bonificación de 13 cuotas, modalidad prevista contractualmente y expresamente tenida por cumplida por el juzgador. Incluso, el porcentaje resultante coincide con la brecha de precios invocada por el propio actor. Aun cuando la cláusula 8 reconoce alternativas, no se probó que el actor hubiera solicitado una distinta ni que se le hubiera impedido optar; por el contrario, aceptó la entrega y continuó abonando según esa mecánica.</w:t>
      </w:r>
    </w:p>
    <w:p>
      <w:pPr>
        <w:pStyle w:val="[Normal]"/>
        <w:spacing w:line="360" w:lineRule="auto"/>
        <w:jc w:val="both"/>
        <w:rPr>
          <w:lang w:val="es-AR" w:eastAsia="es-AR" w:bidi="es-AR"/>
        </w:rPr>
      </w:pPr>
      <w:r>
        <w:rPr>
          <w:lang w:val="es-AR" w:eastAsia="es-AR" w:bidi="es-AR"/>
        </w:rPr>
        <w:t xml:space="preserve"> 	La alegación de que </w:t>
      </w:r>
      <w:r>
        <w:rPr>
          <w:i/>
          <w:lang w:val="es-AR" w:eastAsia="es-AR" w:bidi="es-AR"/>
        </w:rPr>
        <w:t xml:space="preserve">“jamás se explicitó el valor móvil del TAOS”</w:t>
      </w:r>
      <w:r>
        <w:rPr>
          <w:lang w:val="es-AR" w:eastAsia="es-AR" w:bidi="es-AR"/>
        </w:rPr>
        <w:t xml:space="preserve"> tampoco se verifica en términos causales: los pedidos de informes del propio actor se dirigieron al valor móvil/cuota de AMAROK, sin exteriorizar confusión sobre el parámetro de liquidación; el a quo destacó que de esas presentaciones no se desprende duda relevante sobre cómo se calculaban sus cuotas.</w:t>
      </w:r>
    </w:p>
    <w:p>
      <w:pPr>
        <w:pStyle w:val="[Normal]"/>
        <w:spacing w:line="360" w:lineRule="auto"/>
        <w:jc w:val="both"/>
        <w:rPr>
          <w:lang w:val="es-AR" w:eastAsia="es-AR" w:bidi="es-AR"/>
        </w:rPr>
      </w:pPr>
      <w:r>
        <w:rPr>
          <w:lang w:val="es-AR" w:eastAsia="es-AR" w:bidi="es-AR"/>
        </w:rPr>
        <w:t xml:space="preserve"> 	Finalmente, la condición personal del actor (operario de producción) es jurídicamente indiferente frente a una operatoria instrumentada, ejecutada y aprovechada por él mismo: solicitó cambio de modelo, retiró la unidad, recibió la bonificación y continuó pagando. Ese iter fáctico neutraliza la pretensión de desconocer ex post lo celebrado, sin que quepa invocar el estándar protectorio para consagrar un enriquecimiento sin causa.</w:t>
      </w:r>
    </w:p>
    <w:p>
      <w:pPr>
        <w:pStyle w:val="[Normal]"/>
        <w:spacing w:line="360" w:lineRule="auto"/>
        <w:jc w:val="both"/>
        <w:rPr>
          <w:lang w:val="es-AR" w:eastAsia="es-AR" w:bidi="es-AR"/>
        </w:rPr>
      </w:pPr>
      <w:r>
        <w:rPr>
          <w:lang w:val="es-AR" w:eastAsia="es-AR" w:bidi="es-AR"/>
        </w:rPr>
        <w:t xml:space="preserve"> 	Por lo expuesto, corresponde desestimar el agravio por cuanto no hubo exigencia de profesionalidad, y sí cumplimiento del deber de información en lo sustancial, compensación efectivamente aplicada y convalidación por la conducta del propio adherente.</w:t>
      </w:r>
    </w:p>
    <w:p>
      <w:pPr>
        <w:pStyle w:val="[Normal]"/>
        <w:spacing w:line="360" w:lineRule="auto"/>
        <w:jc w:val="both"/>
        <w:rPr>
          <w:lang w:val="es-AR" w:eastAsia="es-AR" w:bidi="es-AR"/>
        </w:rPr>
      </w:pPr>
      <w:r>
        <w:rPr>
          <w:lang w:val="es-AR" w:eastAsia="es-AR" w:bidi="es-AR"/>
        </w:rPr>
        <w:t xml:space="preserve"> 	V.- En lo relativo al agravio según el cual el recurrente niega  omisiones jurídicamente relevantes de su poderdante respecto al acto de cesión, considero que la queja debe rechazarse. </w:t>
      </w:r>
    </w:p>
    <w:p>
      <w:pPr>
        <w:pStyle w:val="[Normal]"/>
        <w:spacing w:line="360" w:lineRule="auto"/>
        <w:jc w:val="both"/>
        <w:rPr>
          <w:lang w:val="es-AR" w:eastAsia="es-AR" w:bidi="es-AR"/>
        </w:rPr>
      </w:pPr>
      <w:r>
        <w:rPr>
          <w:lang w:val="es-AR" w:eastAsia="es-AR" w:bidi="es-AR"/>
        </w:rPr>
        <w:t xml:space="preserve"> 	La omisión de mencionar en la demanda la cesión de plan no es excusable porque se trata de un acto personal, preexistente y formalizado ante escribano, con firma certificada. Un negocio documentado en sede notarial es, por definición, conocido -o, como mínimo, fácilmente cognoscible- por quien lo suscribe. La sola invocación de </w:t>
      </w:r>
      <w:r>
        <w:rPr>
          <w:i/>
          <w:lang w:val="es-AR" w:eastAsia="es-AR" w:bidi="es-AR"/>
        </w:rPr>
        <w:t xml:space="preserve">“ignorancia”</w:t>
      </w:r>
      <w:r>
        <w:rPr>
          <w:lang w:val="es-AR" w:eastAsia="es-AR" w:bidi="es-AR"/>
        </w:rPr>
        <w:t xml:space="preserve"> u </w:t>
      </w:r>
      <w:r>
        <w:rPr>
          <w:i/>
          <w:lang w:val="es-AR" w:eastAsia="es-AR" w:bidi="es-AR"/>
        </w:rPr>
        <w:t xml:space="preserve">"olvido"</w:t>
      </w:r>
      <w:r>
        <w:rPr>
          <w:lang w:val="es-AR" w:eastAsia="es-AR" w:bidi="es-AR"/>
        </w:rPr>
        <w:t xml:space="preserve"> no supera el estándar de diligencia mínima exigible al promover juicio.</w:t>
      </w:r>
    </w:p>
    <w:p>
      <w:pPr>
        <w:pStyle w:val="[Normal]"/>
        <w:spacing w:line="360" w:lineRule="auto"/>
        <w:jc w:val="both"/>
        <w:rPr>
          <w:lang w:val="es-AR" w:eastAsia="es-AR" w:bidi="es-AR"/>
        </w:rPr>
      </w:pPr>
      <w:r>
        <w:rPr>
          <w:lang w:val="es-AR" w:eastAsia="es-AR" w:bidi="es-AR"/>
        </w:rPr>
        <w:t xml:space="preserve"> 	Tampoco es excusable desde la lógica de la eventualidad. La cesión era un antecedente central para delimitar la relación contractual invocada. No era un hecho sobreviniente ni dependía de la conducta de la contraria. Si el actor pretendía cuestionar su eficacia o alegar vicios del consentimiento, debía introducir desde el inicio los hechos y documentos pertinentes, o explicar concretamente la imposibilidad de hacerlo en tiempo oportuno. </w:t>
      </w:r>
    </w:p>
    <w:p>
      <w:pPr>
        <w:pStyle w:val="[Normal]"/>
        <w:spacing w:line="360" w:lineRule="auto"/>
        <w:jc w:val="both"/>
        <w:rPr>
          <w:lang w:val="es-AR" w:eastAsia="es-AR" w:bidi="es-AR"/>
        </w:rPr>
      </w:pPr>
      <w:r>
        <w:rPr>
          <w:lang w:val="es-AR" w:eastAsia="es-AR" w:bidi="es-AR"/>
        </w:rPr>
        <w:t xml:space="preserve"> 	Menos aún puede justificarse la omisión cuando el instrumento -según surge- presenta términos claros y no media denuncia de violencia o engaño concreto. El silencio inicial frente a un documento notorio suscripto por el propio actor, seguido de su posterior utilización como eje de la crítica una vez incorporado por la demandada, desatiende la carga de afirmación y compromete la congruencia.</w:t>
      </w:r>
    </w:p>
    <w:p>
      <w:pPr>
        <w:pStyle w:val="[Normal]"/>
        <w:spacing w:line="360" w:lineRule="auto"/>
        <w:jc w:val="both"/>
        <w:rPr>
          <w:lang w:val="es-AR" w:eastAsia="es-AR" w:bidi="es-AR"/>
        </w:rPr>
      </w:pPr>
      <w:r>
        <w:rPr>
          <w:lang w:val="es-AR" w:eastAsia="es-AR" w:bidi="es-AR"/>
        </w:rPr>
        <w:t xml:space="preserve"> 	Sobre este aspecto, la Sala II de la Cámara de Apelaciones en lo Civil y Comercial de La Plata ha dicho que: </w:t>
      </w:r>
      <w:r>
        <w:rPr>
          <w:i/>
          <w:lang w:val="es-AR" w:eastAsia="es-AR" w:bidi="es-AR"/>
        </w:rPr>
        <w:t xml:space="preserve">"Guardar absoluto silencio respecto de una circunstancia que no podía ser ignorada y resultaba relevante para la consideración de los hechos sometidos a juzgamiento, ha de implicar, para quien así se conduce, quedar atrapado en su propio incumplimiento de la carga de expedirse, debiendo ello ser interpretado como un indicio adverso a sus intereses"</w:t>
      </w:r>
      <w:r>
        <w:rPr>
          <w:lang w:val="es-AR" w:eastAsia="es-AR" w:bidi="es-AR"/>
        </w:rPr>
        <w:t xml:space="preserve"> (Cámara Segunda de Apelaciones Civil y Comercial de la Plata, Sala II,</w:t>
      </w:r>
      <w:r>
        <w:rPr>
          <w:i/>
          <w:lang w:val="es-AR" w:eastAsia="es-AR" w:bidi="es-AR"/>
        </w:rPr>
        <w:t xml:space="preserve">"Sutter, Ricardo Mario c/Kociubinsky, Pedro Nicolás s/Cobro de pesos ordinarios", </w:t>
      </w:r>
      <w:r>
        <w:rPr>
          <w:lang w:val="es-AR" w:eastAsia="es-AR" w:bidi="es-AR"/>
        </w:rPr>
        <w:t xml:space="preserve">09/03/2004).</w:t>
      </w:r>
    </w:p>
    <w:p>
      <w:pPr>
        <w:pStyle w:val="[Normal]"/>
        <w:spacing w:line="360" w:lineRule="auto"/>
        <w:jc w:val="both"/>
        <w:rPr>
          <w:lang w:val="es-AR" w:eastAsia="es-AR" w:bidi="es-AR"/>
        </w:rPr>
      </w:pPr>
      <w:r>
        <w:rPr>
          <w:lang w:val="es-AR" w:eastAsia="es-AR" w:bidi="es-AR"/>
        </w:rPr>
        <w:t xml:space="preserve"> 	En ese marco, el reproche del a quo a la falta de alegación temprana es correcto: no se acreditó causa seria que excuse la omisión, ni se demostró un déficit informativo ajeno que la explique. Corresponde, por ello, mantener la valoración de la primera instancia y desestimar el agravio.</w:t>
      </w:r>
    </w:p>
    <w:p>
      <w:pPr>
        <w:pStyle w:val="[Normal]"/>
        <w:spacing w:line="360" w:lineRule="auto"/>
        <w:jc w:val="both"/>
        <w:rPr>
          <w:lang w:val="es-AR" w:eastAsia="es-AR" w:bidi="es-AR"/>
        </w:rPr>
      </w:pPr>
      <w:r>
        <w:rPr>
          <w:lang w:val="es-AR" w:eastAsia="es-AR" w:bidi="es-AR"/>
        </w:rPr>
        <w:t xml:space="preserve"> 	VI.- En punto al planteo </w:t>
      </w:r>
      <w:r>
        <w:rPr>
          <w:rStyle w:val="STRONG"/>
          <w:b w:val="off"/>
          <w:lang w:val="es-AR" w:eastAsia="es-AR" w:bidi="es-AR"/>
        </w:rPr>
        <w:t xml:space="preserve">subsidiario para que se condene a ALRA S.A. y VOLKSWAGEN S.A. DE AH. PARA FINES DET. a la reparación de los perjuicios ocasionados al actor y se imponga la multa civil oportunamente requerida</w:t>
      </w:r>
      <w:r>
        <w:rPr>
          <w:lang w:val="es-AR" w:eastAsia="es-AR" w:bidi="es-AR"/>
        </w:rPr>
        <w:t xml:space="preserve"> aún en caso de confirmarse la confirmación de sentencia en cuanto a la convalidación de la cesión operada, debo señalar que tal postulación no puede ser atendida.</w:t>
      </w:r>
    </w:p>
    <w:p>
      <w:pPr>
        <w:pStyle w:val="[Normal]"/>
        <w:spacing w:line="360" w:lineRule="auto"/>
        <w:jc w:val="both"/>
        <w:rPr>
          <w:lang w:val="es-AR" w:eastAsia="es-AR" w:bidi="es-AR"/>
        </w:rPr>
      </w:pPr>
      <w:r>
        <w:rPr>
          <w:lang w:val="es-AR" w:eastAsia="es-AR" w:bidi="es-AR"/>
        </w:rPr>
        <w:t xml:space="preserve"> 	Ello así por cuanto al confirmarse el rechazo del pedido de adecuación contractual sobre la base de inexistencia de incumplimiento jurídicamente relevante del deber de informar, queda firme la validez de la operatoria y la inexistencia de un incumplimiento u ocultamiento imputable a las demandadas. Sin antijuridicidad no se configuran los presupuestos de la responsabilidad civil ni del deber de reparar (arts. 1716 y conc. CCyC), de modo que no hay base para una condena resarcitoria.</w:t>
      </w:r>
    </w:p>
    <w:p>
      <w:pPr>
        <w:pStyle w:val="[Normal]"/>
        <w:spacing w:line="360" w:lineRule="auto"/>
        <w:jc w:val="both"/>
        <w:rPr>
          <w:lang w:val="es-AR" w:eastAsia="es-AR" w:bidi="es-AR"/>
        </w:rPr>
      </w:pPr>
      <w:r>
        <w:rPr>
          <w:lang w:val="es-AR" w:eastAsia="es-AR" w:bidi="es-AR"/>
        </w:rPr>
        <w:t xml:space="preserve"> 	Asimismo, la mera disconformidad con el modo en que se instrumentó la contratación o con sus efectos económicos no reemplaza la prueba de un perjuicio indemnizable ni de su vinculación causal adecuada. La carga de demostrar esos extremos le incumbía -sin que la distribución dinámica lo exima de aportar elementos objetivos- y no fue satisfecha (CPCC, art. 375).</w:t>
      </w:r>
    </w:p>
    <w:p>
      <w:pPr>
        <w:pStyle w:val="[Normal]"/>
        <w:spacing w:line="360" w:lineRule="auto"/>
        <w:jc w:val="both"/>
        <w:rPr>
          <w:lang w:val="es-AR" w:eastAsia="es-AR" w:bidi="es-AR"/>
        </w:rPr>
      </w:pPr>
      <w:r>
        <w:rPr>
          <w:lang w:val="es-AR" w:eastAsia="es-AR" w:bidi="es-AR"/>
        </w:rPr>
        <w:t xml:space="preserve"> 	La multa civil tampoco procede. El daño punitivo del art. 52 bis LDC es de carácter sancionatorio: exige una conducta particularmente grave del proveedor -desprecio manifiesto por los derechos del consumidor, dolo o, cuanto menos, culpa grave- y no se habilita por un desacuerdo contractual no acompañado de prueba de infracciones serias y reiteradas. Al no verificarse un ilícito ni una violación calificada de los deberes de información o trato digno, y faltando además una fundamentación concreta sobre su procedencia y cuantía disuasiva, la sanción deviene improcedente.</w:t>
      </w:r>
    </w:p>
    <w:p>
      <w:pPr>
        <w:pStyle w:val="[Normal]"/>
        <w:spacing w:line="360" w:lineRule="auto"/>
        <w:jc w:val="both"/>
        <w:rPr>
          <w:lang w:val="es-AR" w:eastAsia="es-AR" w:bidi="es-AR"/>
        </w:rPr>
      </w:pPr>
      <w:r>
        <w:rPr>
          <w:lang w:val="es-AR" w:eastAsia="es-AR" w:bidi="es-AR"/>
        </w:rPr>
        <w:t xml:space="preserve"> 	Cabe agregar que, al momento de entablar la demanda, el actor reclamó el resarcimiento del daño moral y la aplicación del daño punitivo con carácter principal y no bajo modalidad subsidiaria, de modo que su pretensión no se encontraba condicionada a un eventual rechazo del pedido de adecuación, lo que refuerza la improcedencia de replantearlo ahora en forma subsidiaria.</w:t>
      </w:r>
    </w:p>
    <w:p>
      <w:pPr>
        <w:pStyle w:val="[Normal]"/>
        <w:spacing w:line="360" w:lineRule="auto"/>
        <w:jc w:val="both"/>
        <w:rPr>
          <w:lang w:val="es-AR" w:eastAsia="es-AR" w:bidi="es-AR"/>
        </w:rPr>
      </w:pPr>
      <w:r>
        <w:rPr>
          <w:lang w:val="es-AR" w:eastAsia="es-AR" w:bidi="es-AR"/>
        </w:rPr>
        <w:t xml:space="preserve"> 	En consecuencia, corresponde confirmar también el rechazo del reclamo indemnizatorio y de la multa civil deducidos en subsidio, con costas al actor vencido.</w:t>
      </w:r>
    </w:p>
    <w:p>
      <w:pPr>
        <w:pStyle w:val="[Normal]"/>
        <w:spacing w:line="360" w:lineRule="auto"/>
        <w:jc w:val="both"/>
        <w:rPr>
          <w:lang w:val="es-AR" w:eastAsia="es-AR" w:bidi="es-AR"/>
        </w:rPr>
      </w:pPr>
      <w:r>
        <w:rPr>
          <w:lang w:val="es-AR" w:eastAsia="es-AR" w:bidi="es-AR"/>
        </w:rPr>
        <w:t xml:space="preserve"> 	VII.- Por último, el actor solicita, en forma subsidiaria, que si se mantiene el rechazo de la demanda, se modifique la imposición de costas y se las distribuya en el orden causado, invocando el art. 68 in fine CPCC y la gratuidad de la LDC. Argumenta que razonablemente pudo creerse con derecho a demandar por: a) déficits informativos durante todo el vínculo; b) falta de claridad del negocio; c) complejidad y atipicidad de la operatoria contractual; d) ausencia de entrega de copias de documentos; e) actitud reticente de las demandadas frente a pedidos de información; y f) falta de exhibición completa de la documental en el incidente cautelar.</w:t>
      </w:r>
    </w:p>
    <w:p>
      <w:pPr>
        <w:pStyle w:val="[Normal]"/>
        <w:spacing w:line="360" w:lineRule="auto"/>
        <w:jc w:val="both"/>
        <w:rPr>
          <w:lang w:val="es-AR" w:eastAsia="es-AR" w:bidi="es-AR"/>
        </w:rPr>
      </w:pPr>
      <w:r>
        <w:rPr>
          <w:lang w:val="es-AR" w:eastAsia="es-AR" w:bidi="es-AR"/>
        </w:rPr>
        <w:t xml:space="preserve"> 	Considero que el agravio no puede prosperar. </w:t>
      </w:r>
    </w:p>
    <w:p>
      <w:pPr>
        <w:pStyle w:val="[Normal]"/>
        <w:spacing w:line="360" w:lineRule="auto"/>
        <w:jc w:val="both"/>
        <w:rPr>
          <w:lang w:val="es-AR" w:eastAsia="es-AR" w:bidi="es-AR"/>
        </w:rPr>
      </w:pPr>
      <w:r>
        <w:rPr>
          <w:lang w:val="es-AR" w:eastAsia="es-AR" w:bidi="es-AR"/>
        </w:rPr>
        <w:t xml:space="preserve"> 	Rige aquí el principio objetivo de la derrota (art. 68, primer párrafo, CPCC), y la excepción que autoriza a distribuir las costas en el orden causado (art. 68, in fine) es de interpretación restrictiva: exige circunstancias serias y comprobadas -vencimiento parcial, cuestión objetivamente dudosa o conducta procesal reprochable de la vencedora- cuya demostración pesa sobre quien pretende apartarse de la regla. A pesar del denodado esfuerzo argumentativo desplegado a lo largo del proceso por la parte actora, el apelante no satisface ese estándar.</w:t>
      </w:r>
    </w:p>
    <w:p>
      <w:pPr>
        <w:pStyle w:val="[Normal]"/>
        <w:spacing w:line="360" w:lineRule="auto"/>
        <w:jc w:val="both"/>
        <w:rPr>
          <w:lang w:val="es-AR" w:eastAsia="es-AR" w:bidi="es-AR"/>
        </w:rPr>
      </w:pPr>
      <w:r>
        <w:rPr>
          <w:lang w:val="es-AR" w:eastAsia="es-AR" w:bidi="es-AR"/>
        </w:rPr>
        <w:t xml:space="preserve"> 	Los motivos invocados -déficits informativos, falta de claridad del negocio, complejidad o atipicidad de la operatoria, ausencia de copias, supuesta reticencia y falta de exhibición completa en sede cautelar- ya han sido desestimados al tratar los agravios principales: no acreditan incumplimiento, vicio ni ilicitud de las demandadas. </w:t>
      </w:r>
    </w:p>
    <w:p>
      <w:pPr>
        <w:pStyle w:val="[Normal]"/>
        <w:spacing w:line="360" w:lineRule="auto"/>
        <w:jc w:val="both"/>
        <w:rPr>
          <w:lang w:val="es-AR" w:eastAsia="es-AR" w:bidi="es-AR"/>
        </w:rPr>
      </w:pPr>
      <w:r>
        <w:rPr>
          <w:lang w:val="es-AR" w:eastAsia="es-AR" w:bidi="es-AR"/>
        </w:rPr>
        <w:t xml:space="preserve"> 	Tampoco configuran una </w:t>
      </w:r>
      <w:r>
        <w:rPr>
          <w:i/>
          <w:lang w:val="es-AR" w:eastAsia="es-AR" w:bidi="es-AR"/>
        </w:rPr>
        <w:t xml:space="preserve">“duda razonable”</w:t>
      </w:r>
      <w:r>
        <w:rPr>
          <w:lang w:val="es-AR" w:eastAsia="es-AR" w:bidi="es-AR"/>
        </w:rPr>
        <w:t xml:space="preserve"> del derecho que habilite a neutralizar la consecuencia natural del vencimiento. La sola complejidad fáctica o la disconformidad con el resultado no bastan para convertir una pretensión infundada en caso de costas por su orden.</w:t>
      </w:r>
    </w:p>
    <w:p>
      <w:pPr>
        <w:pStyle w:val="[Normal]"/>
        <w:spacing w:line="360" w:lineRule="auto"/>
        <w:jc w:val="both"/>
        <w:rPr>
          <w:lang w:val="es-AR" w:eastAsia="es-AR" w:bidi="es-AR"/>
        </w:rPr>
      </w:pPr>
      <w:r>
        <w:rPr>
          <w:lang w:val="es-AR" w:eastAsia="es-AR" w:bidi="es-AR"/>
        </w:rPr>
        <w:t xml:space="preserve"> 	No media vencimiento recíproco ni conducta procesal de las demandadas que justifique un apartamiento equitativo. Por el contrario, la actora fue vencida en sus pretensiones sustantivas y no demostró que la contraria hubiera creado una situación que hiciera razonable litigar en sentido adverso. En este marco, imponer las costas en el orden causado trasladaría indebidamente a la parte vencedora el costo de defenderse frente a una acción que no prosperó.</w:t>
      </w:r>
    </w:p>
    <w:p>
      <w:pPr>
        <w:pStyle w:val="[Normal]"/>
        <w:spacing w:line="360" w:lineRule="auto"/>
        <w:jc w:val="both"/>
        <w:rPr>
          <w:lang w:val="es-AR" w:eastAsia="es-AR" w:bidi="es-AR"/>
        </w:rPr>
      </w:pPr>
      <w:r>
        <w:rPr>
          <w:lang w:val="es-AR" w:eastAsia="es-AR" w:bidi="es-AR"/>
        </w:rPr>
        <w:t xml:space="preserve"> 	Finalmente, la gratuidad invocada por el actor no altera esta conclusión. Al respecto, se ha dicho que</w:t>
      </w:r>
      <w:r>
        <w:rPr>
          <w:lang w:val="es-AR" w:eastAsia="es-AR" w:bidi="es-AR"/>
        </w:rPr>
        <w:t xml:space="preserve"> </w:t>
      </w:r>
      <w:r>
        <w:rPr>
          <w:i/>
          <w:lang w:val="es-AR" w:eastAsia="es-AR" w:bidi="es-AR"/>
        </w:rPr>
        <w:t xml:space="preserve">"el beneficio de justicia gratuita ... es independiente de la distribución de costas o, lo que es lo mismo, de la decisión acerca de quién deba soportarlas como consecuencia del resultado del litigio (...) En efecto una cosa es que una parte sea considerada responsable por el pago de las costas de acuerdo al resultado del proceso, y otra muy distinta es si, frente a la exstencia de una circunstancia que lo exime del cumplimiento de esa responsabilidad ... se vea relevado de cumplir con esa obligación que en principio le cabe"</w:t>
      </w:r>
      <w:r>
        <w:rPr>
          <w:lang w:val="es-AR" w:eastAsia="es-AR" w:bidi="es-AR"/>
        </w:rPr>
        <w:t xml:space="preserve"> (Cámara Nacional de Apelaciones en lo Comercial "ARROCHA, Ariel Oscar c/ UNITED AIRLAINES INC. Y OTROS s/ Sumarísimo", 22 de Octubre de 2024).-</w:t>
      </w:r>
    </w:p>
    <w:p>
      <w:pPr>
        <w:pStyle w:val="[Normal]"/>
        <w:spacing w:line="360" w:lineRule="auto"/>
        <w:jc w:val="both"/>
        <w:rPr>
          <w:lang w:val="es-AR" w:eastAsia="es-AR" w:bidi="es-AR"/>
        </w:rPr>
      </w:pPr>
      <w:r>
        <w:rPr>
          <w:lang w:val="es-AR" w:eastAsia="es-AR" w:bidi="es-AR"/>
        </w:rPr>
        <w:t xml:space="preserve"> 	Sobre la base de sendos postulados, resulta ajustado a derecho mantener la imposición de costas en cabeza de la accionante por haber resultado objetivamente vencida en juicio, pero al mismo tiempo corresponde aclarar que la misma estará exenta (en su carácter de consumidora) de su correspondiente pago en tanto se halle vigente el beneficio de gratuidad.</w:t>
      </w:r>
    </w:p>
    <w:p>
      <w:pPr>
        <w:pStyle w:val="[Normal]"/>
        <w:spacing w:line="360" w:lineRule="auto"/>
        <w:ind w:firstLine="1134"/>
        <w:jc w:val="both"/>
        <w:rPr>
          <w:lang w:val="es-AR" w:eastAsia="es-AR" w:bidi="es-AR"/>
        </w:rPr>
      </w:pPr>
      <w:r>
        <w:rPr>
          <w:lang w:val="es-AR" w:eastAsia="es-AR" w:bidi="es-AR"/>
        </w:rPr>
        <w:t xml:space="preserve">En consecuencia, no verificados los presupuestos excepcionales del art. 68 in fine CPCC, corresponde rechazar el agravio subsidiario y mantener la condena en costas al actor vencido.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w:t>
      </w:r>
      <w:r>
        <w:rPr>
          <w:b/>
          <w:lang w:val="es-AR" w:eastAsia="es-AR" w:bidi="es-AR"/>
        </w:rPr>
        <w:t xml:space="preserve"> </w:t>
      </w:r>
      <w:r>
        <w:rPr>
          <w:lang w:val="es-AR" w:eastAsia="es-AR" w:bidi="es-AR"/>
        </w:rPr>
        <w:t xml:space="preserve">actora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 actora vencida (art.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20321956646@NOTIFICACIONES.SCBA.GOV.AR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20119562679@NOTIFICACIONES.SCBA.GOV.AR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20292594675@NOTIFICACIONES.SCBA.GOV.AR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04/09/2025 10:47:30 -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04/09/2025 10:59:14 -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04/09/2025 12:01:53 -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‰7Y")è&amp;`SL;Š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235702090006645144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04/09/2025 12:02:19 hs. bajo el número RS-117-2025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U">
    <w:name w:val="U"/>
    <w:qFormat/>
    <w:rPr>
      <w:u w:val="single"/>
      <w:rtl w:val="off"/>
      <w:lang w:val="x-none" w:eastAsia="x-none" w:bidi="x-none"/>
    </w:rPr>
  </w:style>
  <w:style w:type="character" w:styleId="STRONG">
    <w:name w:val="STRONG"/>
    <w:qFormat/>
    <w:rPr>
      <w:b/>
      <w:bCs/>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