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5234-24</w:t>
      </w:r>
      <w:r>
        <w:rPr>
          <w:lang w:val="es-AR" w:eastAsia="es-AR" w:bidi="es-AR"/>
        </w:rPr>
        <w:t xml:space="preserve"> caratulada </w:t>
      </w:r>
      <w:r>
        <w:rPr>
          <w:b/>
          <w:lang w:val="es-AR" w:eastAsia="es-AR" w:bidi="es-AR"/>
        </w:rPr>
        <w:t xml:space="preserve">"</w:t>
      </w:r>
      <w:r>
        <w:rPr>
          <w:b/>
          <w:color w:val="000000"/>
          <w:lang w:val="es-AR" w:eastAsia="es-AR" w:bidi="es-AR"/>
        </w:rPr>
        <w:t xml:space="preserve">CASALINS FABIAN Y OTRO/A C/ BANCO HIPOTECARIO SOCIEDAD ANONIMA Y OTRO/A S/ DAÑOS Y PERJ. INCUMP. CONTRACTUAL (EXC. ESTADO)</w:t>
      </w:r>
      <w:r>
        <w:rPr>
          <w:b/>
          <w:lang w:val="es-AR" w:eastAsia="es-AR" w:bidi="es-AR"/>
        </w:rPr>
        <w:t xml:space="preserve">"</w:t>
      </w:r>
      <w:r>
        <w:rPr>
          <w:lang w:val="es-AR" w:eastAsia="es-AR" w:bidi="es-AR"/>
        </w:rPr>
        <w:t xml:space="preserve">, Expte. N° </w:t>
      </w:r>
      <w:r>
        <w:rPr>
          <w:color w:val="000000"/>
          <w:lang w:val="es-AR" w:eastAsia="es-AR" w:bidi="es-AR"/>
        </w:rPr>
        <w:t xml:space="preserve">76.036</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declaró la inconstitucionalidad sobrevenida de los arts. 7 y 10 de la ley 23.928 según ley 25.561, del mismo modo que su inaplicabilidad al caso, a fin de disponer una equitativa actualización del crédito adeudado.  Hizo lugar a la demanda incoada y, en consecuencia, condenó a la demandada Banco Hipotecario Sociedad Anónima a abonar  la parte actora dentro de los diez (10) días de notificada la presente, la suma de SEIS MILLONES TRESCIENTOS CINCUENTA MIL Pesos ($6.350.000) actualizable según lo dispuesto en el considerando VII, con más sus respectivos intereses calculados en la forma establecida en el considerando VI, a partir de la fecha del hecho (20/11/2015) y hasta el momento de su efectivo pago. Aplicó las costas a la parte demandada que resulta vencida. Difirió la regulación de honorarios de los letrados intervinientes, hasta que medie firme la respectiva liquidación de intereses y gastos.-</w:t>
      </w:r>
    </w:p>
    <w:p>
      <w:pPr>
        <w:pStyle w:val="[Normal]"/>
        <w:spacing w:line="360" w:lineRule="auto"/>
        <w:ind w:firstLine="1134"/>
        <w:jc w:val="both"/>
        <w:rPr>
          <w:lang w:val="es-AR" w:eastAsia="es-AR" w:bidi="es-AR"/>
        </w:rPr>
      </w:pPr>
      <w:r>
        <w:rPr>
          <w:lang w:val="es-AR" w:eastAsia="es-AR" w:bidi="es-AR"/>
        </w:rPr>
        <w:t xml:space="preserve">Disconforme con lo resuelto interpuso recurso de apelación la parte demandada el 2-6-2025 fundado al momento de interposición. Habiendo la contraparte evacuado el traslado conferido el 11-6-2025.-</w:t>
      </w:r>
    </w:p>
    <w:p>
      <w:pPr>
        <w:pStyle w:val="[Normal]"/>
        <w:spacing w:line="360" w:lineRule="auto"/>
        <w:ind w:firstLine="1134"/>
        <w:jc w:val="both"/>
        <w:rPr>
          <w:lang w:val="es-AR" w:eastAsia="es-AR" w:bidi="es-AR"/>
        </w:rPr>
      </w:pPr>
      <w:r>
        <w:rPr>
          <w:lang w:val="es-AR" w:eastAsia="es-AR" w:bidi="es-AR"/>
        </w:rPr>
        <w:t xml:space="preserve">Elevados los autos a esta Alzada con fecha 3-7-2025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Comienza su crítica la apelante afirmando que la demanda fue interpuesta fuera del plazo legal de prescripción. Señala que el gravamen sobre el inmueble se canceló el 17/07/2017 y la demanda se presentó el 10/09/2020, es decir, transcurrieron 38 meses y que según el art. 2561 del CCyC y el art. 50 de la Ley 24.240, la acción prescribe a los tres años. Critica que el juez de grado no haya considerado esta excepción planteada oportunamente.-</w:t>
      </w:r>
    </w:p>
    <w:p>
      <w:pPr>
        <w:pStyle w:val="[Normal]"/>
        <w:spacing w:line="360" w:lineRule="auto"/>
        <w:ind w:firstLine="1134"/>
        <w:jc w:val="both"/>
        <w:rPr>
          <w:lang w:val="es-AR" w:eastAsia="es-AR" w:bidi="es-AR"/>
        </w:rPr>
      </w:pPr>
      <w:r>
        <w:rPr>
          <w:lang w:val="es-AR" w:eastAsia="es-AR" w:bidi="es-AR"/>
        </w:rPr>
        <w:t xml:space="preserve">Sostiene en primer término, que la imposibilidad alegada por la parte actora para escriturar el inmueble por la existencia de un gravamen carece de sustento, toda vez que el banco interviniente ya había emitido la carta de pago correspondiente, lo que permitía sin obstáculos la cancelación y consecuente otorgamiento de la escritura. A su criterio, el actor dispuso de tiempo suficiente para concretar la venta y trasladar al adquirente la cancelación del gravamen, por lo que la versión invocada resulta improcedente.</w:t>
      </w:r>
    </w:p>
    <w:p>
      <w:pPr>
        <w:pStyle w:val="[Normal]"/>
        <w:spacing w:line="360" w:lineRule="auto"/>
        <w:ind w:firstLine="1134"/>
        <w:jc w:val="both"/>
        <w:rPr>
          <w:lang w:val="es-AR" w:eastAsia="es-AR" w:bidi="es-AR"/>
        </w:rPr>
      </w:pPr>
      <w:r>
        <w:rPr>
          <w:lang w:val="es-AR" w:eastAsia="es-AR" w:bidi="es-AR"/>
        </w:rPr>
        <w:t xml:space="preserve">En cuanto a la liquidación reclamada, cuestiona la procedencia del daño directo, al sostener que la misma se funda en meras conjeturas acerca de intereses que hipotéticamente hubiera generado el precio de la supuesta operación inmobiliaria, sin respaldo probatorio suficiente que permita transformar tales afirmaciones en evidencia.</w:t>
      </w:r>
    </w:p>
    <w:p>
      <w:pPr>
        <w:pStyle w:val="[Normal]"/>
        <w:spacing w:line="360" w:lineRule="auto"/>
        <w:ind w:firstLine="1134"/>
        <w:jc w:val="both"/>
        <w:rPr>
          <w:lang w:val="es-AR" w:eastAsia="es-AR" w:bidi="es-AR"/>
        </w:rPr>
      </w:pPr>
      <w:r>
        <w:rPr>
          <w:lang w:val="es-AR" w:eastAsia="es-AR" w:bidi="es-AR"/>
        </w:rPr>
        <w:t xml:space="preserve">Impugna también el rubro “daño moral”, alegando que los argumentos de la contraria carecen de entidad para justificar su reconocimiento. Refiere jurisprudencia que establece que la indemnización por daño moral, de carácter estrictamente resarcitoria, debe atender a sufrimientos concretos de la víctima y no guarda relación necesaria con el daño patrimonial, exigencias que (entiende) no se configuran en el caso.-</w:t>
      </w:r>
    </w:p>
    <w:p>
      <w:pPr>
        <w:pStyle w:val="[Normal]"/>
        <w:spacing w:line="360" w:lineRule="auto"/>
        <w:ind w:firstLine="1134"/>
        <w:jc w:val="both"/>
        <w:rPr>
          <w:lang w:val="es-AR" w:eastAsia="es-AR" w:bidi="es-AR"/>
        </w:rPr>
      </w:pPr>
      <w:r>
        <w:rPr>
          <w:lang w:val="es-AR" w:eastAsia="es-AR" w:bidi="es-AR"/>
        </w:rPr>
        <w:t xml:space="preserve">Cuestiona la procedencia del daño punitivo reclamado por el actor. Sostiene que la demanda se limita a una invocación genérica del instituto previsto en el art. 52 bis de la Ley 24.240, sin aportar elementos de convicción que permitan acreditar incumplimiento legal o contractual alguno por parte de su representada.-</w:t>
      </w:r>
    </w:p>
    <w:p>
      <w:pPr>
        <w:pStyle w:val="[Normal]"/>
        <w:spacing w:line="360" w:lineRule="auto"/>
        <w:ind w:firstLine="1134"/>
        <w:jc w:val="both"/>
        <w:rPr>
          <w:lang w:val="es-AR" w:eastAsia="es-AR" w:bidi="es-AR"/>
        </w:rPr>
      </w:pPr>
      <w:r>
        <w:rPr>
          <w:lang w:val="es-AR" w:eastAsia="es-AR" w:bidi="es-AR"/>
        </w:rPr>
        <w:t xml:space="preserve">Enfatiza que los daños punitivos constituyen una sanción de carácter excepcional, reservada a supuestos de particular gravedad, dolo o culpa grave, enriquecimiento indebido y menosprecio hacia los derechos del consumidor, extremos que (según afirma) no se verifican en el caso.-</w:t>
      </w:r>
    </w:p>
    <w:p>
      <w:pPr>
        <w:pStyle w:val="[Normal]"/>
        <w:spacing w:line="360" w:lineRule="auto"/>
        <w:ind w:firstLine="1134"/>
        <w:jc w:val="both"/>
        <w:rPr>
          <w:lang w:val="es-AR" w:eastAsia="es-AR" w:bidi="es-AR"/>
        </w:rPr>
      </w:pPr>
      <w:r>
        <w:rPr>
          <w:lang w:val="es-AR" w:eastAsia="es-AR" w:bidi="es-AR"/>
        </w:rPr>
        <w:t xml:space="preserve">Solicita el rechazo de la pretensión, y subsidiariamente, en el improbable supuesto de admitirse, que se apliquen los criterios de graduación establecidos en el art. 49 de la LDC, a fin de garantizar razonabilidad y respeto del derecho de defensa.-</w:t>
      </w:r>
    </w:p>
    <w:p>
      <w:pPr>
        <w:pStyle w:val="[Normal]"/>
        <w:spacing w:line="360" w:lineRule="auto"/>
        <w:ind w:firstLine="1134"/>
        <w:jc w:val="both"/>
        <w:rPr>
          <w:lang w:val="es-AR" w:eastAsia="es-AR" w:bidi="es-AR"/>
        </w:rPr>
      </w:pPr>
      <w:r>
        <w:rPr>
          <w:lang w:val="es-AR" w:eastAsia="es-AR" w:bidi="es-AR"/>
        </w:rPr>
        <w:t xml:space="preserve">Se duele de la tasa de interés fijada en la sentencia por considerarla notoriamente excesiva y desproporcionada respecto de los montos condenados. Advierte que la aplicación automática de tales tasas conduce a un resultado irrazonable, desvinculado de la realidad económica existente al momento del pronunciamiento.</w:t>
      </w:r>
    </w:p>
    <w:p>
      <w:pPr>
        <w:pStyle w:val="[Normal]"/>
        <w:spacing w:line="360" w:lineRule="auto"/>
        <w:ind w:firstLine="1134"/>
        <w:jc w:val="both"/>
        <w:rPr>
          <w:lang w:val="es-AR" w:eastAsia="es-AR" w:bidi="es-AR"/>
        </w:rPr>
      </w:pPr>
      <w:r>
        <w:rPr>
          <w:lang w:val="es-AR" w:eastAsia="es-AR" w:bidi="es-AR"/>
        </w:rPr>
        <w:t xml:space="preserve">Pide la inconstitucionalidad del art. 29 de la ley 13.133, por entender que vulnera derechos y garantías de raigambre constitucional, tales como la defensa en juicio y la igualdad ante la ley. Aduce que la exigencia de pago previo puede, en los hechos, constituir un obstáculo para acceder a la jurisdicción y ocasionar un perjuicio irreparable.-</w:t>
      </w:r>
    </w:p>
    <w:p>
      <w:pPr>
        <w:pStyle w:val="[Normal]"/>
        <w:spacing w:line="360" w:lineRule="auto"/>
        <w:ind w:firstLine="1134"/>
        <w:jc w:val="both"/>
        <w:rPr>
          <w:lang w:val="es-AR" w:eastAsia="es-AR" w:bidi="es-AR"/>
        </w:rPr>
      </w:pPr>
      <w:r>
        <w:rPr>
          <w:lang w:val="es-AR" w:eastAsia="es-AR" w:bidi="es-AR"/>
        </w:rPr>
        <w:t xml:space="preserve">Por último, solicita se revoque la sentencia recurrida en todas sus partes con costas al vencido.-</w:t>
      </w:r>
    </w:p>
    <w:p>
      <w:pPr>
        <w:pStyle w:val="[Normal]"/>
        <w:spacing w:line="360" w:lineRule="auto"/>
        <w:ind w:firstLine="1134"/>
        <w:jc w:val="both"/>
        <w:rPr>
          <w:lang w:val="es-AR" w:eastAsia="es-AR" w:bidi="es-AR"/>
        </w:rPr>
      </w:pPr>
      <w:r>
        <w:rPr>
          <w:lang w:val="es-AR" w:eastAsia="es-AR" w:bidi="es-AR"/>
        </w:rPr>
        <w:t xml:space="preserve">A su turno, la parte actora advierte que el memorial no cumple con los requisitos establecidos en el código ritual por no ser una queja motivada y fundada. Solicita se rechacen los agravios del apelante y se confirme la sentencia en todos sus términos.-</w:t>
      </w:r>
    </w:p>
    <w:p>
      <w:pPr>
        <w:pStyle w:val="[Normal]"/>
        <w:spacing w:line="360" w:lineRule="auto"/>
        <w:ind w:firstLine="1134"/>
        <w:jc w:val="both"/>
        <w:rPr>
          <w:lang w:val="es-AR" w:eastAsia="es-AR" w:bidi="es-AR"/>
        </w:rPr>
      </w:pPr>
      <w:r>
        <w:rPr>
          <w:lang w:val="es-AR" w:eastAsia="es-AR" w:bidi="es-AR"/>
        </w:rPr>
        <w:t xml:space="preserve">Por cuestiones metodológicas, corresponde en primer término abocarme al tratamiento de la excepción de prescripción articulada por el letrado apoderado de la parte demandada.-</w:t>
      </w:r>
    </w:p>
    <w:p>
      <w:pPr>
        <w:pStyle w:val="[Normal]"/>
        <w:spacing w:line="360" w:lineRule="auto"/>
        <w:ind w:firstLine="1134"/>
        <w:jc w:val="both"/>
        <w:rPr>
          <w:lang w:val="es-AR" w:eastAsia="es-AR" w:bidi="es-AR"/>
        </w:rPr>
      </w:pPr>
      <w:r>
        <w:rPr>
          <w:lang w:val="es-AR" w:eastAsia="es-AR" w:bidi="es-AR"/>
        </w:rPr>
        <w:t xml:space="preserve">He de comenzar señalando que la sentencia de primera instancia -como efectivamente lo puso de resalto el apelante- ha omitido su tratamiento, el cuál fue oportunamente introducido por el demandado en su contestación de demanda de fecha 1-3-2022.-</w:t>
      </w:r>
    </w:p>
    <w:p>
      <w:pPr>
        <w:pStyle w:val="[Normal]"/>
        <w:spacing w:line="360" w:lineRule="auto"/>
        <w:ind w:firstLine="1134"/>
        <w:jc w:val="both"/>
        <w:rPr>
          <w:b/>
          <w:lang w:val="es-AR" w:eastAsia="es-AR" w:bidi="es-AR"/>
        </w:rPr>
      </w:pPr>
      <w:r>
        <w:rPr>
          <w:lang w:val="es-AR" w:eastAsia="es-AR" w:bidi="es-AR"/>
        </w:rPr>
        <w:t xml:space="preserve">En virtud de lo expuesto, procederé al abordaje de dicha excepción.  Ello con fundamento en el art. 273 del CPCC que habilita al Tribunal a decidir sobre los puntos omitidos en la sentencia de primera instancia, aunque no se hubiese pedido aclaratoria, y siempre que se solicitare el respectivo pronunciamiento al expresar agravios, tal como lo hiciere el recurrente.-</w:t>
      </w:r>
    </w:p>
    <w:p>
      <w:pPr>
        <w:pStyle w:val="[Normal]"/>
        <w:spacing w:line="360" w:lineRule="auto"/>
        <w:ind w:firstLine="1134"/>
        <w:jc w:val="both"/>
        <w:rPr>
          <w:lang w:val="es-AR" w:eastAsia="es-AR" w:bidi="es-AR"/>
        </w:rPr>
      </w:pPr>
      <w:r>
        <w:rPr>
          <w:lang w:val="es-AR" w:eastAsia="es-AR" w:bidi="es-AR"/>
        </w:rPr>
        <w:t xml:space="preserve">Sin perjuicio de lo expuesto, cabe advertir al Juzgado de origen para que en lo sucesivo se arbitren los medios conducentes para prevenir la omisión de tratamiento de todas aquellas cuestiones sometidas a decisión, toda vez que un proceder judicial como el observado en la especie opera en detrimento del máximo rendimiento de la doble instancia como manifestación específica del derecho a recurrir en tanto garantía constitucional comprendida en el debido proceso (art. 18 y 75 inc. 22 de la CN).-</w:t>
      </w:r>
    </w:p>
    <w:p>
      <w:pPr>
        <w:pStyle w:val="[Normal]"/>
        <w:spacing w:line="360" w:lineRule="auto"/>
        <w:ind w:firstLine="1134"/>
        <w:jc w:val="both"/>
        <w:rPr>
          <w:lang w:val="es-AR" w:eastAsia="es-AR" w:bidi="es-AR"/>
        </w:rPr>
      </w:pPr>
      <w:r>
        <w:rPr>
          <w:lang w:val="es-AR" w:eastAsia="es-AR" w:bidi="es-AR"/>
        </w:rPr>
        <w:t xml:space="preserve">En este aspecto, la casación local ha postulado que hablar de puntos omitidos no es lo mismo que referirse a las situaciones que emergen como natural consecuencia de la revocación jurídica de determinadas premisas (Cf. SCBA, "Muñoz, Patricia C. v. Jumilla, Carlos Adrián y otros s/ indemnización de daños y perjuicios", 26/9/2009). En la especie, la falta de tratamiento no fue el resultado de la innecesariedad de conocer respecto al punto introducido por decaimiento de algunas de las premisas que justifican su atendibilidad, sino la consecuencia de una inadvertencia en la fundamentación de la sentencia.-</w:t>
      </w:r>
    </w:p>
    <w:p>
      <w:pPr>
        <w:pStyle w:val="[Normal]"/>
        <w:spacing w:line="360" w:lineRule="auto"/>
        <w:ind w:firstLine="1134"/>
        <w:jc w:val="both"/>
        <w:rPr>
          <w:lang w:val="es-AR" w:eastAsia="es-AR" w:bidi="es-AR"/>
        </w:rPr>
      </w:pPr>
      <w:r>
        <w:rPr>
          <w:lang w:val="es-AR" w:eastAsia="es-AR" w:bidi="es-AR"/>
        </w:rPr>
        <w:t xml:space="preserve">Sentado ello, resulta conveniente reconsiderar el funcionamiento de ciertas reglas básicas que rigen el instituto de la prescripción a fin de poder efectuar un diagnóstico preciso de la cuestión controvertida y, sobre esa base elaborar una solución coherente con los hechos acreditados en la causa y el régimen jurídico aplicable a esta figura.-</w:t>
      </w:r>
    </w:p>
    <w:p>
      <w:pPr>
        <w:pStyle w:val="[Normal]"/>
        <w:spacing w:line="360" w:lineRule="auto"/>
        <w:ind w:firstLine="1134"/>
        <w:jc w:val="both"/>
        <w:rPr>
          <w:lang w:val="es-AR" w:eastAsia="es-AR" w:bidi="es-AR"/>
        </w:rPr>
      </w:pPr>
      <w:r>
        <w:rPr>
          <w:lang w:val="es-AR" w:eastAsia="es-AR" w:bidi="es-AR"/>
        </w:rPr>
        <w:t xml:space="preserve">Sobre esta tónica, es menester recordar que para que el curso de la prescripción comience a correr es necesario que el derecho exista y sea exigible.-</w:t>
      </w:r>
    </w:p>
    <w:p>
      <w:pPr>
        <w:pStyle w:val="[Normal]"/>
        <w:spacing w:line="360" w:lineRule="auto"/>
        <w:ind w:firstLine="1134"/>
        <w:jc w:val="both"/>
        <w:rPr>
          <w:lang w:val="es-AR" w:eastAsia="es-AR" w:bidi="es-AR"/>
        </w:rPr>
      </w:pPr>
      <w:r>
        <w:rPr>
          <w:lang w:val="es-AR" w:eastAsia="es-AR" w:bidi="es-AR"/>
        </w:rPr>
        <w:t xml:space="preserve">La prescripción sólo se computa desde el día en que nace la acción, expresión que es tomada aquí en sentido sustancial o impropio.  Se quiere con ello significar que aunque el derecho exista, la prescripción no corre si no está abierta y expedita la facultad de demandarlo ante los organismos jurisdiccionales del Estado.  De allí el adagio latino tanto veces repetido por la Corte Nacional “actionis nondum natae non prasecributur”: la acción que aún no ha nacido no se prescribe (CSJN, 29 / 2 /68, LL, 131-211; ídem, 4 / 5 /95, JA, 1995 -III- 504; SCBA, 6/9/94, 1995 - I- 556).-</w:t>
      </w:r>
    </w:p>
    <w:p>
      <w:pPr>
        <w:pStyle w:val="[Normal]"/>
        <w:spacing w:line="360" w:lineRule="auto"/>
        <w:ind w:firstLine="1134"/>
        <w:jc w:val="both"/>
        <w:rPr>
          <w:lang w:val="es-AR" w:eastAsia="es-AR" w:bidi="es-AR"/>
        </w:rPr>
      </w:pPr>
      <w:r>
        <w:rPr>
          <w:lang w:val="es-AR" w:eastAsia="es-AR" w:bidi="es-AR"/>
        </w:rPr>
        <w:t xml:space="preserve">Como bien señala Planiol</w:t>
      </w:r>
      <w:r>
        <w:rPr>
          <w:i/>
          <w:lang w:val="es-AR" w:eastAsia="es-AR" w:bidi="es-AR"/>
        </w:rPr>
        <w:t xml:space="preserve">, “la prescripción no puede comenzar antes, porque el tiempo dado para la prescribir debe ser un tiempo útil para el ejercicio de la acción, y no puede reprocharse al acreedor, de no haber accionado en una época en que su derecho no estaba expedito. Si así no fuera, podría suceder que el derecho quedara perdido antes de poder ser reclamado: lo que sería tan injusto como absurdo”</w:t>
      </w:r>
      <w:r>
        <w:rPr>
          <w:lang w:val="es-AR" w:eastAsia="es-AR" w:bidi="es-AR"/>
        </w:rPr>
        <w:t xml:space="preserve">. (Planiol, Marcel – Ripert, Georges, Tratado práctico de derecho civil francés, trad. De Mario Díaz Cruz, Cultural, La Habana, 1946).-</w:t>
      </w:r>
    </w:p>
    <w:p>
      <w:pPr>
        <w:pStyle w:val="[Normal]"/>
        <w:spacing w:line="360" w:lineRule="auto"/>
        <w:ind w:firstLine="1134"/>
        <w:jc w:val="both"/>
        <w:rPr>
          <w:lang w:val="es-AR" w:eastAsia="es-AR" w:bidi="es-AR"/>
        </w:rPr>
      </w:pPr>
      <w:r>
        <w:rPr>
          <w:lang w:val="es-AR" w:eastAsia="es-AR" w:bidi="es-AR"/>
        </w:rPr>
        <w:t xml:space="preserve">La doctrina y jurisprudencia coinciden pacíficamente en reconocer que la prescripción liberatoria es inseparable de la acción como derecho exigible y expedito, en condiciones de ser ejercitado de manera efectiva. Al respecto, la Corte Suprema de Justicia de la Nación ha dicho: </w:t>
      </w:r>
      <w:r>
        <w:rPr>
          <w:i/>
          <w:lang w:val="es-AR" w:eastAsia="es-AR" w:bidi="es-AR"/>
        </w:rPr>
        <w:t xml:space="preserve">“El punto de partida de la prescripción debe ubicarse en el momento a partir del cual la responsabilidad existe y ha nacido la consiguiente acción para hacerla valer o, en otros términos, desde que la acción quedó expedita</w:t>
      </w:r>
      <w:r>
        <w:rPr>
          <w:lang w:val="es-AR" w:eastAsia="es-AR" w:bidi="es-AR"/>
        </w:rPr>
        <w:t xml:space="preserve">” (ver CSJN-Fallos, 186:36, 23/12/76, ED., 71-463; y Pizarro, Ramón Daniel y Vallespinos, Carlos Gustavo, Instituciones de Derecho Civil, Tomo 3, Buenos Aires, Ed. Hammurabi, 2007, pág. 693).-</w:t>
      </w:r>
    </w:p>
    <w:p>
      <w:pPr>
        <w:pStyle w:val="[Normal]"/>
        <w:spacing w:line="360" w:lineRule="auto"/>
        <w:ind w:firstLine="1134"/>
        <w:jc w:val="both"/>
        <w:rPr>
          <w:lang w:val="es-AR" w:eastAsia="es-AR" w:bidi="es-AR"/>
        </w:rPr>
      </w:pPr>
      <w:r>
        <w:rPr>
          <w:lang w:val="es-AR" w:eastAsia="es-AR" w:bidi="es-AR"/>
        </w:rPr>
        <w:t xml:space="preserve">Cabe señalar que al encontrarse el presente reclamo encuadrado en el ámbito de una relación de consumo, resulta de aplicación lo dispuesto en el art. 50 de la Ley de Defensa del Consumidor, que establece un plazo de prescripción de tres (3) años para las acciones que de ella emergen. No obstante, el art. 2560 del Código Civil y Comercial prevé un plazo prescriptivo genérico de cinco (5) años.-</w:t>
      </w:r>
    </w:p>
    <w:p>
      <w:pPr>
        <w:pStyle w:val="[Normal]"/>
        <w:spacing w:line="360" w:lineRule="auto"/>
        <w:ind w:firstLine="1134"/>
        <w:jc w:val="both"/>
        <w:rPr>
          <w:lang w:val="es-AR" w:eastAsia="es-AR" w:bidi="es-AR"/>
        </w:rPr>
      </w:pPr>
      <w:r>
        <w:rPr>
          <w:lang w:val="es-AR" w:eastAsia="es-AR" w:bidi="es-AR"/>
        </w:rPr>
        <w:t xml:space="preserve">Sin embargo, frente a la concurrencia de una norma general y otra de carácter especial, corresponde privilegiar esta última, de modo que el plazo aplicable en la especie es el previsto por la ley especial en materia de consumo, por sobre el de carácter general contenido en el Código Civil y Comercial.-</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rFonts w:ascii="Arial" w:hAnsi="Arial" w:eastAsia="Arial" w:cs="Arial"/>
          <w:lang w:val="es-AR" w:eastAsia="es-AR" w:bidi="es-AR"/>
        </w:rPr>
        <w:t xml:space="preserve">En este sentido se ha expedido nuestro Máximo Tribunal Provincial </w:t>
      </w:r>
      <w:r>
        <w:rPr>
          <w:rFonts w:ascii="Arial" w:hAnsi="Arial" w:eastAsia="Arial" w:cs="Arial"/>
          <w:i/>
          <w:lang w:val="es-AR" w:eastAsia="es-AR" w:bidi="es-AR"/>
        </w:rPr>
        <w:t xml:space="preserve">"En efecto, en principio, la norma en materia de prescripción liberatoria contenida en la ley especial posee una aplicación preferente a la norma genérica y residual sobre la misma materia contenida en la ley general (conf. art. 2.560, Cód. Civ. y Com.)" (SCBA causa 125.525 de fecha 29/07/2024 caratulada "Toscano, Jorge Luis contra Caja de Seguros S.A. Daños y perjuicios por incumplimiento contractual (Exc. Estado).</w:t>
      </w:r>
      <w:r>
        <w:rPr>
          <w:rFonts w:ascii="Arial" w:hAnsi="Arial" w:eastAsia="Arial" w:cs="Arial"/>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 la compulsa de las actuaciones se desprende que la obligación cuyo incumplimiento motiva la presente acción devino exigible el día 31 de octubre de 2014, fecha en la cual los actores efectuaron el depósito del crédito a favor de Creditia Fideicomiso Financiero, entidad a la cual el Banco Hipotecario S.A. había cedido la deuda. Es a partir de dicho momento que queda configurado el hecho generador de responsabilidad.-</w:t>
      </w:r>
    </w:p>
    <w:p>
      <w:pPr>
        <w:pStyle w:val="[Normal]"/>
        <w:spacing w:line="360" w:lineRule="auto"/>
        <w:ind w:firstLine="1134"/>
        <w:jc w:val="both"/>
        <w:rPr>
          <w:lang w:val="es-AR" w:eastAsia="es-AR" w:bidi="es-AR"/>
        </w:rPr>
      </w:pPr>
      <w:r>
        <w:rPr>
          <w:lang w:val="es-AR" w:eastAsia="es-AR" w:bidi="es-AR"/>
        </w:rPr>
        <w:t xml:space="preserve">Por consiguiente es a partir de esa fecha, y no desde el momento en que el banco realiza la escritura de levantamiento de hipoteca (como sostienen ambas partes), que corresponde computar el plazo de prescripción aplicable, el cual, conforme la normativa especial es de carácter trienal.-</w:t>
      </w:r>
    </w:p>
    <w:p>
      <w:pPr>
        <w:pStyle w:val="[Normal]"/>
        <w:spacing w:line="360" w:lineRule="auto"/>
        <w:ind w:firstLine="1134"/>
        <w:jc w:val="both"/>
        <w:rPr>
          <w:lang w:val="es-AR" w:eastAsia="es-AR" w:bidi="es-AR"/>
        </w:rPr>
      </w:pPr>
      <w:r>
        <w:rPr>
          <w:lang w:val="es-AR" w:eastAsia="es-AR" w:bidi="es-AR"/>
        </w:rPr>
        <w:t xml:space="preserve">En este orden de ideas teniendo en cuenta todo lo reseñado hasta aquí y considerando la fecha de pago de la obligación que torno exigible el derecho (31-10-2014)  hasta la fecha del inicio del proceso judicial (10-9-2020), el plazo trienal se encuentra prescripto.-</w:t>
      </w:r>
    </w:p>
    <w:p>
      <w:pPr>
        <w:pStyle w:val="[Normal]"/>
        <w:spacing w:line="360" w:lineRule="auto"/>
        <w:ind w:firstLine="1134"/>
        <w:jc w:val="both"/>
        <w:rPr>
          <w:lang w:val="es-AR" w:eastAsia="es-AR" w:bidi="es-AR"/>
        </w:rPr>
      </w:pPr>
      <w:r>
        <w:rPr>
          <w:lang w:val="es-AR" w:eastAsia="es-AR" w:bidi="es-AR"/>
        </w:rPr>
        <w:t xml:space="preserve">A mayor abundamiento, en el hipotético caso que se considerara con un criterio más amplio, el plazo de prescripción previsto en el Código Civil y Comercial de la Nación y se adicionaran los períodos de suspensión derivados de la instancia de mediación, lo cierto es que, al momento de la promoción de la presente acción, el término prescriptivo igualmente se encontraba cumplido.-</w:t>
      </w:r>
    </w:p>
    <w:p>
      <w:pPr>
        <w:pStyle w:val="[Normal]"/>
        <w:spacing w:line="360" w:lineRule="auto"/>
        <w:ind w:firstLine="1134"/>
        <w:jc w:val="both"/>
        <w:rPr>
          <w:lang w:val="es-AR" w:eastAsia="es-AR" w:bidi="es-AR"/>
        </w:rPr>
      </w:pPr>
      <w:r>
        <w:rPr>
          <w:lang w:val="es-AR" w:eastAsia="es-AR" w:bidi="es-AR"/>
        </w:rPr>
        <w:t xml:space="preserve">Este diferente encuadramiento normativo de la cuestión resulta plenamente válido y se halla dentro de los límites de la congruencia de primer y segundo grado, toda vez que no altera la plataforma fáctica acreditada en la causa y se limita a calificar la relación jurídica sustancial conforme a su preciso sentido y alcance. Al respecto, se ha dicho que: </w:t>
      </w:r>
      <w:r>
        <w:rPr>
          <w:i/>
          <w:lang w:val="es-AR" w:eastAsia="es-AR" w:bidi="es-AR"/>
        </w:rPr>
        <w:t xml:space="preserve">“El Juez de Alzada puede modificar el encuadre normativo practicado en la sentencia de primera instancia pues nada impide que el mismo por imperio del brocardio ´iura novit curia´ ejerza en libertad su facultad de elegir la norma en que se ha de subsumir la concreta situación de hecho, desde que no se encuentra vinculado por el derecho que invoquen los litigantes, ni por el que apliquen los Jueces en las decisiones que le llegan en revisión”</w:t>
      </w:r>
      <w:r>
        <w:rPr>
          <w:lang w:val="es-AR" w:eastAsia="es-AR" w:bidi="es-AR"/>
        </w:rPr>
        <w:t xml:space="preserve"> (TC0002 LP 25835 RSD-931-6 S, </w:t>
      </w:r>
      <w:r>
        <w:rPr>
          <w:i/>
          <w:lang w:val="es-AR" w:eastAsia="es-AR" w:bidi="es-AR"/>
        </w:rPr>
        <w:t xml:space="preserve">”Q. ,M. E. s/Habeas Corpus”</w:t>
      </w:r>
      <w:r>
        <w:rPr>
          <w:lang w:val="es-AR" w:eastAsia="es-AR" w:bidi="es-AR"/>
        </w:rPr>
        <w:t xml:space="preserve">, 21/12/2006 Juez MANCINI).-</w:t>
      </w:r>
    </w:p>
    <w:p>
      <w:pPr>
        <w:pStyle w:val="[Normal]"/>
        <w:spacing w:line="360" w:lineRule="auto"/>
        <w:ind w:firstLine="1134"/>
        <w:jc w:val="both"/>
        <w:rPr>
          <w:lang w:val="es-AR" w:eastAsia="es-AR" w:bidi="es-AR"/>
        </w:rPr>
      </w:pPr>
      <w:r>
        <w:rPr>
          <w:lang w:val="es-AR" w:eastAsia="es-AR" w:bidi="es-AR"/>
        </w:rPr>
        <w:t xml:space="preserve">Por lo tanto, habiéndose admitido la excepción de prescripción opuesta, corresponde declarar la inoficiosidad del tratamiento de los restantes agravios, en tanto éstos han perdido virtualidad.-</w:t>
      </w:r>
    </w:p>
    <w:p>
      <w:pPr>
        <w:pStyle w:val="[Normal]"/>
        <w:spacing w:line="360" w:lineRule="auto"/>
        <w:ind w:firstLine="1134"/>
        <w:jc w:val="both"/>
        <w:rPr>
          <w:lang w:val="es-AR" w:eastAsia="es-AR" w:bidi="es-AR"/>
        </w:rPr>
      </w:pPr>
      <w:r>
        <w:rPr>
          <w:lang w:val="es-AR" w:eastAsia="es-AR" w:bidi="es-AR"/>
        </w:rPr>
        <w:t xml:space="preserve">Consecuentemente, propongo al Acuerdo hacer lugar a la defensa  de prescripción interpuesta por el apoderado del Banco Hipotecario y en consecuencia rechazar la demanda entablada por la parte actora, con costas de ambas instancias por resultar vencida (Art. 68/9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 la excepción de prescripción opuesta por la parte demandada y en su mérito revocar el decisorio de grado en todas sus partes rechazando la demanda entablada por la parte actora.-</w:t>
      </w:r>
    </w:p>
    <w:p>
      <w:pPr>
        <w:pStyle w:val="[Normal]"/>
        <w:spacing w:line="360" w:lineRule="auto"/>
        <w:ind w:firstLine="1134"/>
        <w:jc w:val="both"/>
        <w:rPr>
          <w:lang w:val="es-AR" w:eastAsia="es-AR" w:bidi="es-AR"/>
        </w:rPr>
      </w:pPr>
      <w:r>
        <w:rPr>
          <w:lang w:val="es-AR" w:eastAsia="es-AR" w:bidi="es-AR"/>
        </w:rPr>
        <w:t xml:space="preserve">Costas de ambas instancias a la actora que resulta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a la excepción de prescripción opuesta por la parte demandada y en su mérito revocar el decisorio de grado en todas sus partes rechazando la demanda entablada por la parte actora.-</w:t>
      </w:r>
    </w:p>
    <w:p>
      <w:pPr>
        <w:pStyle w:val="[Normal]"/>
        <w:spacing w:line="360" w:lineRule="auto"/>
        <w:ind w:firstLine="1134"/>
        <w:jc w:val="both"/>
        <w:rPr>
          <w:lang w:val="es-AR" w:eastAsia="es-AR" w:bidi="es-AR"/>
        </w:rPr>
      </w:pPr>
      <w:r>
        <w:rPr>
          <w:lang w:val="es-AR" w:eastAsia="es-AR" w:bidi="es-AR"/>
        </w:rPr>
        <w:t xml:space="preserve">Costas de ambas instancias a la actora que resulta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20181362635@NOTIFICACIONES.SCBA.GOV.AR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20250127082@NOTIFICACIONES.SCBA.GOV.AR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09/09/2025 10:41:50 -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09/09/2025 10:41:56 -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09/09/2025 10:53:59 -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‰7U")è&amp;`3HDŠ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235302090006641940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09/09/2025 10:54:15 hs. bajo el número RS-120-2025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ourier New">
    <w:panose1 w:val="02070309020205020404"/>
    <w:charset w:val="00"/>
    <w:family w:val="swiss"/>
    <w:pitch w:val="fixed"/>
    <w:sig w:usb0="E0002EFF" w:usb1="C0007843" w:usb2="00000009" w:usb3="00000000" w:csb0="400001FF" w:csb1="FFFF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Default">
    <w:name w:val="Default"/>
    <w:basedOn w:val="[Normal]"/>
    <w:next w:val="Default"/>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rFonts w:ascii="Courier New" w:hAnsi="Courier New" w:eastAsia="Courier New" w:cs="Courier New"/>
      <w:color w:val="000000"/>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