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7447A"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En la ciudad de Pergamino, reunidos en Acuerdo Ordinario los Sres. Jueces de la Excma. Cámara de Apelación en lo Civil y Comercial del Departamento Judicial Pergamino, para dictar sentencia en la causa </w:t>
      </w:r>
      <w:proofErr w:type="spellStart"/>
      <w:r w:rsidRPr="00A567D0">
        <w:rPr>
          <w:lang w:val="es-AR" w:eastAsia="es-AR" w:bidi="es-AR"/>
        </w:rPr>
        <w:t>N°</w:t>
      </w:r>
      <w:proofErr w:type="spellEnd"/>
      <w:r w:rsidRPr="00A567D0">
        <w:rPr>
          <w:lang w:val="es-AR" w:eastAsia="es-AR" w:bidi="es-AR"/>
        </w:rPr>
        <w:t xml:space="preserve"> 5721-25 caratulada "D J D C/ D R V S/ PLAN DE PARENTALIDAD", </w:t>
      </w:r>
      <w:proofErr w:type="spellStart"/>
      <w:r w:rsidRPr="00A567D0">
        <w:rPr>
          <w:lang w:val="es-AR" w:eastAsia="es-AR" w:bidi="es-AR"/>
        </w:rPr>
        <w:t>Expte</w:t>
      </w:r>
      <w:proofErr w:type="spellEnd"/>
      <w:r w:rsidRPr="00A567D0">
        <w:rPr>
          <w:lang w:val="es-AR" w:eastAsia="es-AR" w:bidi="es-AR"/>
        </w:rPr>
        <w:t xml:space="preserve">. 40.860 del Juzgado de Familia </w:t>
      </w:r>
      <w:proofErr w:type="spellStart"/>
      <w:r w:rsidRPr="00A567D0">
        <w:rPr>
          <w:lang w:val="es-AR" w:eastAsia="es-AR" w:bidi="es-AR"/>
        </w:rPr>
        <w:t>n°</w:t>
      </w:r>
      <w:proofErr w:type="spellEnd"/>
      <w:r w:rsidRPr="00A567D0">
        <w:rPr>
          <w:lang w:val="es-AR" w:eastAsia="es-AR" w:bidi="es-AR"/>
        </w:rPr>
        <w:t xml:space="preserve"> 1, se practicó el sorteo de ley que determinó que la votación debía efectuarse en el siguiente orden: Graciela </w:t>
      </w:r>
      <w:proofErr w:type="spellStart"/>
      <w:r w:rsidRPr="00A567D0">
        <w:rPr>
          <w:lang w:val="es-AR" w:eastAsia="es-AR" w:bidi="es-AR"/>
        </w:rPr>
        <w:t>Scaraffia</w:t>
      </w:r>
      <w:proofErr w:type="spellEnd"/>
      <w:r w:rsidRPr="00A567D0">
        <w:rPr>
          <w:lang w:val="es-AR" w:eastAsia="es-AR" w:bidi="es-AR"/>
        </w:rPr>
        <w:t xml:space="preserve"> y Roberto </w:t>
      </w:r>
      <w:proofErr w:type="spellStart"/>
      <w:r w:rsidRPr="00A567D0">
        <w:rPr>
          <w:lang w:val="es-AR" w:eastAsia="es-AR" w:bidi="es-AR"/>
        </w:rPr>
        <w:t>Degleue</w:t>
      </w:r>
      <w:proofErr w:type="spellEnd"/>
      <w:r w:rsidRPr="00A567D0">
        <w:rPr>
          <w:lang w:val="es-AR" w:eastAsia="es-AR" w:bidi="es-AR"/>
        </w:rPr>
        <w:t xml:space="preserve">, y estudiados los autos se resolvió plantear y votar las siguientes: </w:t>
      </w:r>
    </w:p>
    <w:p w14:paraId="30FADA0F"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C U E S T I O N E S:</w:t>
      </w:r>
    </w:p>
    <w:p w14:paraId="228C2DD8"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I) ¿Se ajusta a derecho la sentencia en lo </w:t>
      </w:r>
      <w:proofErr w:type="gramStart"/>
      <w:r w:rsidRPr="00A567D0">
        <w:rPr>
          <w:lang w:val="es-AR" w:eastAsia="es-AR" w:bidi="es-AR"/>
        </w:rPr>
        <w:t>apelado?.</w:t>
      </w:r>
      <w:proofErr w:type="gramEnd"/>
    </w:p>
    <w:p w14:paraId="76C77A60"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II) ¿Qué pronunciamiento corresponde </w:t>
      </w:r>
      <w:proofErr w:type="gramStart"/>
      <w:r w:rsidRPr="00A567D0">
        <w:rPr>
          <w:lang w:val="es-AR" w:eastAsia="es-AR" w:bidi="es-AR"/>
        </w:rPr>
        <w:t>dictar?.</w:t>
      </w:r>
      <w:proofErr w:type="gramEnd"/>
    </w:p>
    <w:p w14:paraId="5DAEBCF1"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A la primera cuestión la señora Jueza Graciela </w:t>
      </w:r>
      <w:proofErr w:type="spellStart"/>
      <w:r w:rsidRPr="00A567D0">
        <w:rPr>
          <w:lang w:val="es-AR" w:eastAsia="es-AR" w:bidi="es-AR"/>
        </w:rPr>
        <w:t>Scaraffia</w:t>
      </w:r>
      <w:proofErr w:type="spellEnd"/>
      <w:r w:rsidRPr="00A567D0">
        <w:rPr>
          <w:lang w:val="es-AR" w:eastAsia="es-AR" w:bidi="es-AR"/>
        </w:rPr>
        <w:t xml:space="preserve"> dijo:</w:t>
      </w:r>
    </w:p>
    <w:p w14:paraId="1393645C"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El Sr. Juez del Juzgado de Familia dictó sentencia con fecha 15 de mayo de 2025 mediante la cual decidió homologar lo convenido por J D </w:t>
      </w:r>
      <w:proofErr w:type="spellStart"/>
      <w:r w:rsidRPr="00A567D0">
        <w:rPr>
          <w:lang w:val="es-AR" w:eastAsia="es-AR" w:bidi="es-AR"/>
        </w:rPr>
        <w:t>D</w:t>
      </w:r>
      <w:proofErr w:type="spellEnd"/>
      <w:r w:rsidRPr="00A567D0">
        <w:rPr>
          <w:lang w:val="es-AR" w:eastAsia="es-AR" w:bidi="es-AR"/>
        </w:rPr>
        <w:t xml:space="preserve"> y R V D en materia de alimentos y cuidado personal en relación a su hijo menor de edad, fijando un régimen de vida compartido alternado entre ambos progenitores, estableciendo una cuota alimentaria semanal a cargo del progenitor y la distribución de gastos extraordinarios.</w:t>
      </w:r>
    </w:p>
    <w:p w14:paraId="187DEC19"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El actor interpone recurso de apelación contra la sentencia homologatoria de fecha 15 de mayo de 2025 mediante la cual se validó el acuerdo alcanzado entre las partes respecto del menor M.J.D., en materia de alimentos y cuidado personal.  Sosteniendo que el acuerdo no se cumple y no respeta el interés superior del niño, quien se niega a sostener el régimen debido a presuntos malos tratos por parte de la madre. Se cuestiona, además, el rechazo de la reapertura de la causa, alegando falta de fundamentación y afectación de su derecho de defensa. Solicita se deje sin efecto la homologación, se cite al niño a ser oído y se disponga la reapertura de la causa.</w:t>
      </w:r>
    </w:p>
    <w:p w14:paraId="31D74A48"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La señora Asesora de Incapaces al contestar el traslado conferido indica </w:t>
      </w:r>
      <w:proofErr w:type="gramStart"/>
      <w:r w:rsidRPr="00A567D0">
        <w:rPr>
          <w:lang w:val="es-AR" w:eastAsia="es-AR" w:bidi="es-AR"/>
        </w:rPr>
        <w:t>que</w:t>
      </w:r>
      <w:proofErr w:type="gramEnd"/>
      <w:r w:rsidRPr="00A567D0">
        <w:rPr>
          <w:lang w:val="es-AR" w:eastAsia="es-AR" w:bidi="es-AR"/>
        </w:rPr>
        <w:t xml:space="preserve"> aunque las partes habían acordado voluntariamente sobre cuidado personal y cuota alimentaria, el niño de 12 años no ha sido oído. </w:t>
      </w:r>
      <w:r w:rsidRPr="00A567D0">
        <w:rPr>
          <w:lang w:val="es-AR" w:eastAsia="es-AR" w:bidi="es-AR"/>
        </w:rPr>
        <w:lastRenderedPageBreak/>
        <w:t xml:space="preserve">Ante denuncias de violencia, corresponde garantizar su derecho a ser escuchado y, en caso de su voluntad afirmativa, a contar con un abogado de NNA, por lo que recomienda dejar parcialmente sin efecto la homologación respecto del cuidado personal hasta cumplimentar estas medidas, en resguardo del interés superior del menor. </w:t>
      </w:r>
    </w:p>
    <w:p w14:paraId="2B4985C6"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Entrando a resolver, corresponde señalar en primer término </w:t>
      </w:r>
      <w:proofErr w:type="gramStart"/>
      <w:r w:rsidRPr="00A567D0">
        <w:rPr>
          <w:lang w:val="es-AR" w:eastAsia="es-AR" w:bidi="es-AR"/>
        </w:rPr>
        <w:t>que</w:t>
      </w:r>
      <w:proofErr w:type="gramEnd"/>
      <w:r w:rsidRPr="00A567D0">
        <w:rPr>
          <w:lang w:val="es-AR" w:eastAsia="es-AR" w:bidi="es-AR"/>
        </w:rPr>
        <w:t xml:space="preserve"> tratándose de acuerdos relativos al desarrollo de la vida de los hijos, los mismos no resultan inmutables, sino que admiten su modificación en la medida en que las diversas etapas e instancias por las que transita el núcleo familiar imponen ajustes o nuevas previsiones frente a situaciones sobrevinientes. Así lo dispone expresamente el art. 655, segundo párrafo, del CCyC.</w:t>
      </w:r>
    </w:p>
    <w:p w14:paraId="3E9DB9B2"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En el caso, la homologación del acuerdo arribado por las partes en fecha 13-5-2025 se vio seguida pocos días después por la presentación del progenitor, denunciando circunstancias graves vinculadas al incumplimiento del régimen convenido y a la existencia de episodios de violencia por parte de la progenitora, lo que habría motivado la resistencia del hijo de doce años a sostener el régimen acordado. Frente a tal panorama, no puede prescindirse de la necesaria escucha del niño, pues se encuentra en juego su interés superior. En efecto, como bien lo destaca la Asesora de Incapaces, ninguna decisión puede ser adoptada al margen de la voz del niño, bajo pena de nulidad (art. 12 de la Convención sobre los Derechos del Niño y art. 707 CCyC).</w:t>
      </w:r>
    </w:p>
    <w:p w14:paraId="43E9C76B"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Por otro lado, la norma del art. 655 CCyC también reconoce que los hijos adquieren un papel protagónico en la elaboración y eventuales modificaciones del plan de parentalidad, imponiendo a los progenitores la obligación de procurar su participación. Tal intervención constituye un derecho de niños, niñas y adolescentes, quienes deciden libremente su ejercicio, pero corresponde a los adultos y al tribunal garantizar que se les brinden las condiciones adecuadas para su efectiva manifestación (conf. Herrera - Caramelo - Picasso. Código Civil y Comercial de la Nación </w:t>
      </w:r>
      <w:r w:rsidRPr="00A567D0">
        <w:rPr>
          <w:lang w:val="es-AR" w:eastAsia="es-AR" w:bidi="es-AR"/>
        </w:rPr>
        <w:lastRenderedPageBreak/>
        <w:t>Comentado. Libro Segundo. Edición actualizada 2022. SAIJ - INFOJUS, págs. 503/504).</w:t>
      </w:r>
    </w:p>
    <w:p w14:paraId="7A9420F8"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En función de lo expuesto, propongo al Acuerdo hacer lugar parcialmente al recurso interpuesto por la actora, disponiendo dejar sin efecto la sentencia homologatoria en cuanto al cuidado personal del niño hasta tanto se proceda a oírlo en audiencia, garantizando su derecho a contar con patrocinio letrado especializado en niñez y adolescencia, tal como lo manifestara la Asesora de Incapaces en fecha 30-6-2025. En lo demás, el acuerdo relativo a la prestación alimentaria y a la distribución de los gastos extraordinarios se mantiene vigente por no haberse cuestionado en esta instancia.</w:t>
      </w:r>
    </w:p>
    <w:p w14:paraId="1FC1C6C7"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Por las razones dadas, citas legales de referencia y con el alcance indicado,</w:t>
      </w:r>
    </w:p>
    <w:p w14:paraId="67F37D5B"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VOTO POR LA NEGATIVA.</w:t>
      </w:r>
    </w:p>
    <w:p w14:paraId="031D0DB0"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A la misma cuestión el señor Juez Roberto </w:t>
      </w:r>
      <w:proofErr w:type="spellStart"/>
      <w:r w:rsidRPr="00A567D0">
        <w:rPr>
          <w:lang w:val="es-AR" w:eastAsia="es-AR" w:bidi="es-AR"/>
        </w:rPr>
        <w:t>Degleue</w:t>
      </w:r>
      <w:proofErr w:type="spellEnd"/>
      <w:r w:rsidRPr="00A567D0">
        <w:rPr>
          <w:lang w:val="es-AR" w:eastAsia="es-AR" w:bidi="es-AR"/>
        </w:rPr>
        <w:t xml:space="preserve"> por análogos fundamentos votó en el mismo </w:t>
      </w:r>
      <w:proofErr w:type="gramStart"/>
      <w:r w:rsidRPr="00A567D0">
        <w:rPr>
          <w:lang w:val="es-AR" w:eastAsia="es-AR" w:bidi="es-AR"/>
        </w:rPr>
        <w:t>sentido.-</w:t>
      </w:r>
      <w:proofErr w:type="gramEnd"/>
    </w:p>
    <w:p w14:paraId="0CA2D58F"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A la segunda cuestión la señora Jueza Graciela </w:t>
      </w:r>
      <w:proofErr w:type="spellStart"/>
      <w:r w:rsidRPr="00A567D0">
        <w:rPr>
          <w:lang w:val="es-AR" w:eastAsia="es-AR" w:bidi="es-AR"/>
        </w:rPr>
        <w:t>Scaraffia</w:t>
      </w:r>
      <w:proofErr w:type="spellEnd"/>
      <w:r w:rsidRPr="00A567D0">
        <w:rPr>
          <w:lang w:val="es-AR" w:eastAsia="es-AR" w:bidi="es-AR"/>
        </w:rPr>
        <w:t xml:space="preserve"> dijo: De conformidad al resultado habido al tratarse la cuestión precedente, estimo que el pronunciamiento que corresponde dictar es: </w:t>
      </w:r>
    </w:p>
    <w:p w14:paraId="5DE78067"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Hacer lugar parcialmente al recurso de apelación interpuesto por el actor y en su mérito dejar sin efecto la sentencia homologatoria de fecha 15-5-2025 en cuanto al cuidado personal del niño M.J.D. hasta tanto se proceda a oírlo en audiencia, garantizando su derecho a contar con patrocinio letrado especializado en niñez y adolescencia. Confirmar en lo demás la sentencia apelada. </w:t>
      </w:r>
    </w:p>
    <w:p w14:paraId="1535DBC2"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Sin costas de Alzada atento la falta de contradicción (art. 68/9 CPCC). </w:t>
      </w:r>
    </w:p>
    <w:p w14:paraId="4E3C5EB1"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ASÍ LO VOTO. </w:t>
      </w:r>
    </w:p>
    <w:p w14:paraId="7D09957F"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A la misma cuestión el señor Juez Roberto </w:t>
      </w:r>
      <w:proofErr w:type="spellStart"/>
      <w:r w:rsidRPr="00A567D0">
        <w:rPr>
          <w:lang w:val="es-AR" w:eastAsia="es-AR" w:bidi="es-AR"/>
        </w:rPr>
        <w:t>Degleue</w:t>
      </w:r>
      <w:proofErr w:type="spellEnd"/>
      <w:r w:rsidRPr="00A567D0">
        <w:rPr>
          <w:lang w:val="es-AR" w:eastAsia="es-AR" w:bidi="es-AR"/>
        </w:rPr>
        <w:t xml:space="preserve"> por análogos fundamentos votó en el mismo </w:t>
      </w:r>
      <w:proofErr w:type="gramStart"/>
      <w:r w:rsidRPr="00A567D0">
        <w:rPr>
          <w:lang w:val="es-AR" w:eastAsia="es-AR" w:bidi="es-AR"/>
        </w:rPr>
        <w:t>sentido.-</w:t>
      </w:r>
      <w:proofErr w:type="gramEnd"/>
    </w:p>
    <w:p w14:paraId="73B92A3C"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Con lo que terminó el presente Acuerdo, dictándose la siguiente;</w:t>
      </w:r>
    </w:p>
    <w:p w14:paraId="21963ECD"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lastRenderedPageBreak/>
        <w:t>S E N T E N C I A:</w:t>
      </w:r>
    </w:p>
    <w:p w14:paraId="1BF413D2"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Hacer lugar parcialmente al recurso de apelación interpuesto por el actor y en su mérito dejar sin efecto la sentencia homologatoria de fecha 15-5-2025 en cuanto al cuidado personal del niño M.J.D. hasta tanto se proceda a oírlo en audiencia, garantizando su derecho a contar con patrocinio letrado especializado en niñez y adolescencia. Confirmar en lo demás la sentencia apelada. </w:t>
      </w:r>
    </w:p>
    <w:p w14:paraId="7DA90E7E" w14:textId="77777777" w:rsidR="00A567D0" w:rsidRPr="00A567D0" w:rsidRDefault="00A567D0" w:rsidP="00A567D0">
      <w:pPr>
        <w:pStyle w:val="Normal0"/>
        <w:spacing w:line="360" w:lineRule="auto"/>
        <w:ind w:firstLine="1134"/>
        <w:jc w:val="both"/>
        <w:rPr>
          <w:lang w:val="es-AR" w:eastAsia="es-AR" w:bidi="es-AR"/>
        </w:rPr>
      </w:pPr>
      <w:r w:rsidRPr="00A567D0">
        <w:rPr>
          <w:lang w:val="es-AR" w:eastAsia="es-AR" w:bidi="es-AR"/>
        </w:rPr>
        <w:t xml:space="preserve">Sin costas de Alzada atento la falta de contradicción (art. 68/9 CPCC). </w:t>
      </w:r>
    </w:p>
    <w:p w14:paraId="331D9AB5" w14:textId="599DE23F" w:rsidR="00A567D0" w:rsidRDefault="00A567D0" w:rsidP="00A567D0">
      <w:pPr>
        <w:pStyle w:val="Normal0"/>
        <w:spacing w:line="360" w:lineRule="auto"/>
        <w:ind w:firstLine="1134"/>
        <w:jc w:val="both"/>
        <w:rPr>
          <w:lang w:val="es-AR" w:eastAsia="es-AR" w:bidi="es-AR"/>
        </w:rPr>
      </w:pPr>
      <w:r w:rsidRPr="00A567D0">
        <w:rPr>
          <w:lang w:val="es-AR" w:eastAsia="es-AR" w:bidi="es-AR"/>
        </w:rPr>
        <w:t xml:space="preserve">Regístrese. Notifíquese por Secretaría (Ac. 4013 y mod. SCBA) remitiéndose copia digital de la presente sentencia a los domicilios electrónicos de las respectivas partes. </w:t>
      </w:r>
      <w:proofErr w:type="gramStart"/>
      <w:r w:rsidRPr="00A567D0">
        <w:rPr>
          <w:lang w:val="es-AR" w:eastAsia="es-AR" w:bidi="es-AR"/>
        </w:rPr>
        <w:t>Devuélvase.-</w:t>
      </w:r>
      <w:proofErr w:type="gramEnd"/>
    </w:p>
    <w:p w14:paraId="47AF18FF" w14:textId="77777777" w:rsidR="00A567D0" w:rsidRDefault="00A567D0">
      <w:pPr>
        <w:pStyle w:val="Normal0"/>
        <w:spacing w:line="360" w:lineRule="auto"/>
        <w:ind w:firstLine="1134"/>
        <w:jc w:val="both"/>
        <w:rPr>
          <w:lang w:val="es-AR" w:eastAsia="es-AR" w:bidi="es-AR"/>
        </w:rPr>
      </w:pPr>
    </w:p>
    <w:p w14:paraId="090C61AA" w14:textId="77777777" w:rsidR="00A567D0" w:rsidRDefault="00A567D0">
      <w:pPr>
        <w:pStyle w:val="Normal0"/>
        <w:spacing w:line="360" w:lineRule="auto"/>
        <w:ind w:firstLine="1134"/>
        <w:jc w:val="both"/>
        <w:rPr>
          <w:lang w:val="es-AR" w:eastAsia="es-AR" w:bidi="es-AR"/>
        </w:rPr>
      </w:pPr>
    </w:p>
    <w:sectPr w:rsidR="00A567D0">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0A5EEA"/>
    <w:rsid w:val="000A5EEA"/>
    <w:rsid w:val="00A567D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638A0"/>
  <w15:docId w15:val="{7BD0FCF3-03F3-4CF4-B18E-4C790FAD6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 w:type="paragraph" w:customStyle="1" w:styleId="BODY">
    <w:name w:val="BODY"/>
    <w:basedOn w:val="Normal0"/>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style>
  <w:style w:type="character" w:customStyle="1" w:styleId="B">
    <w:name w:val="B"/>
    <w:qFormat/>
    <w:rPr>
      <w:b/>
      <w:bCs/>
      <w:rtl w:val="0"/>
      <w:lang w:val="x-none" w:eastAsia="x-none" w:bidi="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988</Words>
  <Characters>5437</Characters>
  <Application>Microsoft Office Word</Application>
  <DocSecurity>0</DocSecurity>
  <Lines>45</Lines>
  <Paragraphs>12</Paragraphs>
  <ScaleCrop>false</ScaleCrop>
  <Company>SCBA</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2025-10-02T14:33:00Z</dcterms:created>
  <dcterms:modified xsi:type="dcterms:W3CDTF">2025-10-02T14:34:00Z</dcterms:modified>
</cp:coreProperties>
</file>