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5646-25</w:t>
      </w:r>
      <w:r>
        <w:rPr>
          <w:lang w:val="es-AR" w:eastAsia="es-AR" w:bidi="es-AR"/>
        </w:rPr>
        <w:t xml:space="preserve"> caratulada </w:t>
      </w:r>
      <w:r>
        <w:rPr>
          <w:b/>
          <w:lang w:val="es-AR" w:eastAsia="es-AR" w:bidi="es-AR"/>
        </w:rPr>
        <w:t xml:space="preserve">"</w:t>
      </w:r>
      <w:r>
        <w:rPr>
          <w:b/>
          <w:color w:val="000000"/>
          <w:lang w:val="es-AR" w:eastAsia="es-AR" w:bidi="es-AR"/>
        </w:rPr>
        <w:t xml:space="preserve">RUIZ, LIDIA ANTONIA Y OTRO/A  C/ MASCIOTTO Y DI SANTO JOSE Y OTROS S/PRESCRIPCION ADQUISITIVA VICENAL/USUCAPION</w:t>
      </w:r>
      <w:r>
        <w:rPr>
          <w:b/>
          <w:lang w:val="es-AR" w:eastAsia="es-AR" w:bidi="es-AR"/>
        </w:rPr>
        <w:t xml:space="preserve">"</w:t>
      </w:r>
      <w:r>
        <w:rPr>
          <w:lang w:val="es-AR" w:eastAsia="es-AR" w:bidi="es-AR"/>
        </w:rPr>
        <w:t xml:space="preserve">, Expte. N° 50609</w:t>
      </w:r>
      <w:r>
        <w:rPr>
          <w:color w:val="000000"/>
          <w:lang w:val="es-AR" w:eastAsia="es-AR" w:bidi="es-AR"/>
        </w:rPr>
        <w:t xml:space="preserve"> </w:t>
      </w:r>
      <w:r>
        <w:rPr>
          <w:lang w:val="es-AR" w:eastAsia="es-AR" w:bidi="es-AR"/>
        </w:rPr>
        <w:t xml:space="preserve">del Juzgado Civil y Comercial N° 3,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w:t>
      </w:r>
      <w:r>
        <w:rPr>
          <w:color w:val="0000FF"/>
          <w:lang w:val="es-AR" w:eastAsia="es-AR" w:bidi="es-AR"/>
        </w:rPr>
        <w:t xml:space="preserve"> </w:t>
      </w:r>
      <w:r>
        <w:rPr>
          <w:lang w:val="es-AR" w:eastAsia="es-AR" w:bidi="es-AR"/>
        </w:rPr>
        <w:t xml:space="preserve">dijo:</w:t>
      </w:r>
    </w:p>
    <w:p>
      <w:pPr>
        <w:pStyle w:val="[Normal]"/>
        <w:spacing w:line="360" w:lineRule="auto"/>
        <w:ind w:firstLine="1134"/>
        <w:jc w:val="both"/>
        <w:rPr>
          <w:lang w:val="es-AR" w:eastAsia="es-AR" w:bidi="es-AR"/>
        </w:rPr>
      </w:pPr>
      <w:r>
        <w:rPr>
          <w:lang w:val="es-AR" w:eastAsia="es-AR" w:bidi="es-AR"/>
        </w:rPr>
        <w:t xml:space="preserve">El señor Juez de primera instancia rechazó la demanda que por adquisición de dominio por posesión veinteñal que promovieran Carlos Leandro Ruiz, Norma Ayi y Lidia Antonia Ruiz contra Jose y Juana Masciotto y Di Santo, Domingo Oliva, Norberto Francisco, Irma Maria, Eva Angela, Hector Armando, Ada Etelvina y Domingo Nelo Oliva y Masciotta respecto del inmueble identificado catastralmente como C:I, S:F Qta:41, Mz: 41a, P: 1a. Partida Inmobiliaria: 24.706 sito en el partido de Pergamino. Impuso las costas a la parte actora que resulta vencida y difirió la regulación de honorarios.-</w:t>
      </w:r>
    </w:p>
    <w:p>
      <w:pPr>
        <w:pStyle w:val="[Normal]"/>
        <w:spacing w:line="360" w:lineRule="auto"/>
        <w:ind w:firstLine="1134"/>
        <w:jc w:val="both"/>
        <w:rPr>
          <w:lang w:val="es-AR" w:eastAsia="es-AR" w:bidi="es-AR"/>
        </w:rPr>
      </w:pPr>
      <w:r>
        <w:rPr>
          <w:lang w:val="es-AR" w:eastAsia="es-AR" w:bidi="es-AR"/>
        </w:rPr>
        <w:t xml:space="preserve">Disconformes con lo resuelto, apelan los herederos de Norma Ayi el 14-04-2025, quienes expresan agravios el 13-5-2025, habiendo la Defensora Oficial contestado el traslado conferido el 26-5-2025.-</w:t>
      </w:r>
    </w:p>
    <w:p>
      <w:pPr>
        <w:pStyle w:val="[Normal]"/>
        <w:spacing w:line="360" w:lineRule="auto"/>
        <w:ind w:firstLine="1134"/>
        <w:jc w:val="both"/>
        <w:rPr>
          <w:lang w:val="es-AR" w:eastAsia="es-AR" w:bidi="es-AR"/>
        </w:rPr>
      </w:pPr>
      <w:r>
        <w:rPr>
          <w:lang w:val="es-AR" w:eastAsia="es-AR" w:bidi="es-AR"/>
        </w:rPr>
        <w:t xml:space="preserve">En fecha 29-5-2025 se dictó el llamamiento de autos, providencia que, firme a la fecha deja la causa en condiciones de ser tratada.-</w:t>
      </w:r>
    </w:p>
    <w:p>
      <w:pPr>
        <w:pStyle w:val="[Normal]"/>
        <w:spacing w:line="360" w:lineRule="auto"/>
        <w:ind w:firstLine="1134"/>
        <w:jc w:val="both"/>
        <w:rPr>
          <w:lang w:val="es-AR" w:eastAsia="es-AR" w:bidi="es-AR"/>
        </w:rPr>
      </w:pPr>
      <w:r>
        <w:rPr>
          <w:lang w:val="es-AR" w:eastAsia="es-AR" w:bidi="es-AR"/>
        </w:rPr>
        <w:t xml:space="preserve">Los quejosos centran su critica en la denegación del a quo a la demanda por prescripción adquisitiva por ella incoada.-</w:t>
      </w:r>
    </w:p>
    <w:p>
      <w:pPr>
        <w:pStyle w:val="[Normal]"/>
        <w:spacing w:line="360" w:lineRule="auto"/>
        <w:ind w:firstLine="1134"/>
        <w:jc w:val="both"/>
        <w:rPr>
          <w:lang w:val="es-AR" w:eastAsia="es-AR" w:bidi="es-AR"/>
        </w:rPr>
      </w:pPr>
      <w:r>
        <w:rPr>
          <w:lang w:val="es-AR" w:eastAsia="es-AR" w:bidi="es-AR"/>
        </w:rPr>
        <w:t xml:space="preserve">Consideran que se ha sustentado el rechazo de la acción exclusivamente en la supuesta falta de pago regular de impuestos durante el plazo legal, otorgándole a dicho elemento un carácter determinante para acreditar el animus domini, en abierta contradicción con la doctrina legal de la Suprema Corte, que reconocen a tal prueba un valor meramente complementario y no excluyente.-</w:t>
      </w:r>
    </w:p>
    <w:p>
      <w:pPr>
        <w:pStyle w:val="[Normal]"/>
        <w:spacing w:line="360" w:lineRule="auto"/>
        <w:ind w:firstLine="1134"/>
        <w:jc w:val="both"/>
        <w:rPr>
          <w:lang w:val="es-AR" w:eastAsia="es-AR" w:bidi="es-AR"/>
        </w:rPr>
      </w:pPr>
      <w:r>
        <w:rPr>
          <w:lang w:val="es-AR" w:eastAsia="es-AR" w:bidi="es-AR"/>
        </w:rPr>
        <w:t xml:space="preserve">Sostienen que la prueba documental y testimonial producida acredita de manera suficiente la posesión pública, pacífica, continua y con ánimo de dueños ejercida por la familia Ruiz desde hace más de siete décadas, con actos materiales y jurídicos concordantes sin oposición de los titulares registrales.-</w:t>
      </w:r>
    </w:p>
    <w:p>
      <w:pPr>
        <w:pStyle w:val="[Normal]"/>
        <w:spacing w:line="360" w:lineRule="auto"/>
        <w:ind w:firstLine="1134"/>
        <w:jc w:val="both"/>
        <w:rPr>
          <w:lang w:val="es-AR" w:eastAsia="es-AR" w:bidi="es-AR"/>
        </w:rPr>
      </w:pPr>
      <w:r>
        <w:rPr>
          <w:lang w:val="es-AR" w:eastAsia="es-AR" w:bidi="es-AR"/>
        </w:rPr>
        <w:t xml:space="preserve"> Alegan que los informes oficiales (ARBA, Municipalidad, servicios públicos) evidencian regularidad en el cumplimiento de las obligaciones tributarias y de servicios, y que la valoración efectuada por el a quo incurre en error al desconocer dicha circunstancia.-</w:t>
      </w:r>
    </w:p>
    <w:p>
      <w:pPr>
        <w:pStyle w:val="[Normal]"/>
        <w:spacing w:line="360" w:lineRule="auto"/>
        <w:ind w:firstLine="1134"/>
        <w:jc w:val="both"/>
        <w:rPr>
          <w:lang w:val="es-AR" w:eastAsia="es-AR" w:bidi="es-AR"/>
        </w:rPr>
      </w:pPr>
      <w:r>
        <w:rPr>
          <w:lang w:val="es-AR" w:eastAsia="es-AR" w:bidi="es-AR"/>
        </w:rPr>
        <w:t xml:space="preserve">Enfatizan que la permanencia ininterrumpida de los actores en el inmueble desde antes de 1955, sumada a la inactividad absoluta de los condóminos registrales, demuestra inequívocamente el corpus y el animus exigidos por la ley, de modo que la falta de pago integral de impuestos por todo el período no constituye óbice para la procedencia de la usucapión.</w:t>
      </w:r>
    </w:p>
    <w:p>
      <w:pPr>
        <w:pStyle w:val="[Normal]"/>
        <w:spacing w:line="360" w:lineRule="auto"/>
        <w:ind w:firstLine="1134"/>
        <w:jc w:val="both"/>
        <w:rPr>
          <w:lang w:val="es-AR" w:eastAsia="es-AR" w:bidi="es-AR"/>
        </w:rPr>
      </w:pPr>
      <w:r>
        <w:rPr>
          <w:lang w:val="es-AR" w:eastAsia="es-AR" w:bidi="es-AR"/>
        </w:rPr>
        <w:t xml:space="preserve"> Por ello, solicitan la revocación de la sentencia y el acogimiento de la demanda.-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Al contestar el traslado conferido, la Defensora Oficial expone que la parte actora no ha logrado satisfacer la carga probatoria que sobre ella pesaba por lo que pide se confirme la sentencia de grado.-</w:t>
      </w:r>
    </w:p>
    <w:p>
      <w:pPr>
        <w:pStyle w:val="[Normal]"/>
        <w:spacing w:line="360" w:lineRule="auto"/>
        <w:ind w:firstLine="1134"/>
        <w:jc w:val="both"/>
        <w:rPr>
          <w:lang w:val="es-AR" w:eastAsia="es-AR" w:bidi="es-AR"/>
        </w:rPr>
      </w:pPr>
      <w:r>
        <w:rPr>
          <w:lang w:val="es-AR" w:eastAsia="es-AR" w:bidi="es-AR"/>
        </w:rPr>
        <w:t xml:space="preserve">Entrando a resolver, sabido es que el instituto de la prescripción adquisitiva exige una valoración estricta y rigurosa de la prueba, conforme reiterada doctrina de la Suprema Corte de la Provincia de Buenos Aires (cfr. SCBA, causa C 98364 del 11/03/2009; causa C 98183 del 11/11/2009).-</w:t>
      </w:r>
    </w:p>
    <w:p>
      <w:pPr>
        <w:pStyle w:val="[Normal]"/>
        <w:spacing w:line="360" w:lineRule="auto"/>
        <w:ind w:firstLine="1134"/>
        <w:jc w:val="both"/>
        <w:rPr>
          <w:lang w:val="es-AR" w:eastAsia="es-AR" w:bidi="es-AR"/>
        </w:rPr>
      </w:pPr>
      <w:r>
        <w:rPr>
          <w:lang w:val="es-AR" w:eastAsia="es-AR" w:bidi="es-AR"/>
        </w:rPr>
        <w:t xml:space="preserve">Cuadra destacar que en la especie, el examen a realizar se enmarca como es doctrina del Superior Tribunal Provincial en un criterio muy estricto y riguroso (cfr. SCBA, causa C 98364 del 11/03/2009) pues dada la trascendencia económico social del instituto de la usucapión, la prueba de los hechos en los que se funda debe ser concluyente (cfr. SCBA, causa C 98183 del 11/11/2009).-</w:t>
      </w:r>
    </w:p>
    <w:p>
      <w:pPr>
        <w:pStyle w:val="[Normal]"/>
        <w:spacing w:line="360" w:lineRule="auto"/>
        <w:ind w:firstLine="1134"/>
        <w:jc w:val="both"/>
        <w:rPr>
          <w:lang w:val="es-AR" w:eastAsia="es-AR" w:bidi="es-AR"/>
        </w:rPr>
      </w:pPr>
      <w:r>
        <w:rPr>
          <w:lang w:val="es-AR" w:eastAsia="es-AR" w:bidi="es-AR"/>
        </w:rPr>
        <w:t xml:space="preserve"> Así, los extremos requeridos para viabilizar la acción de usucapión son la existencia del corpus, entendido como el ejercicio del poder de hecho, de señorío sobre una cosa; del animus, es decir, de la intención de mantener la cosa para sí; y el mantenimiento de ambos requisitos durante el plazo requerido por ley, en forma pública y pacífica (CC0001 Lz 61653 RSD-154-6 S 20-6-2006 I JUBA B2550662).-</w:t>
      </w:r>
    </w:p>
    <w:p>
      <w:pPr>
        <w:pStyle w:val="[Normal]"/>
        <w:spacing w:line="360" w:lineRule="auto"/>
        <w:ind w:firstLine="1134"/>
        <w:jc w:val="both"/>
        <w:rPr>
          <w:lang w:val="es-AR" w:eastAsia="es-AR" w:bidi="es-AR"/>
        </w:rPr>
      </w:pPr>
      <w:r>
        <w:rPr>
          <w:lang w:val="es-AR" w:eastAsia="es-AR" w:bidi="es-AR"/>
        </w:rPr>
        <w:t xml:space="preserve">Por tanto, corresponde entrar a analizar las constancias probatorias obrantes en autos a los fines de aseverar si la quejosa logró acreditar debidamente la posesión pacífica, pública e ininterrumpida animus domini de los bienes a usucapir por el plazo de ley previsto por el instituto en cuestión.-</w:t>
      </w:r>
    </w:p>
    <w:p>
      <w:pPr>
        <w:pStyle w:val="[Normal]"/>
        <w:spacing w:line="360" w:lineRule="auto"/>
        <w:ind w:firstLine="1134"/>
        <w:jc w:val="both"/>
        <w:rPr>
          <w:lang w:val="es-AR" w:eastAsia="es-AR" w:bidi="es-AR"/>
        </w:rPr>
      </w:pPr>
      <w:r>
        <w:rPr>
          <w:lang w:val="es-AR" w:eastAsia="es-AR" w:bidi="es-AR"/>
        </w:rPr>
        <w:t xml:space="preserve">Respecto del primero de los recaudos -corpus-, ha de considerarse que de los testimonios brindados en autos, se desprende que los actores poseen el terreno motivo del juicio hace mas de 70 años. El señor Amadeo Appendino (vecino del actor) dice que se han hecho arreglos y reformas en la casa como hacer una habitación y la cocina. Por otro lado, la testigo Estela Agüero comenta que se hicieron reformas en el exterior pero no sabe si se hizo algo en el interior de la vivienda. También dice que se hicieron reformas en un local de la esquina donde actualmente funciona una verduleria, que no sabe quien las hizo, pero que los inquilinos abonan el canon al señor Ruiz.-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Respecto de la prueba testimonial, es dable recordar que la misma es insuficiente por sí sola, siendo preciso por tanto confrontar o ratificar los dichos de los testigos con otras pruebas que reflejen esos mismos hechos, es decir, que acrediten sus referencias (cfr. Cám. Civ. y Com. 2° sala 3 LP, causa 116791 RSD 33/2014). Y aún cuando ello no implica exigir una prueba corroborante de la testifical para cada uno de los actos posesorios invocados y durante cada momento del lapso prescriptivo, sí es necesario que exterioricen la existencia de la posesión o de algunos de sus elementos durante una buena parte del mismo, para que, tratando de reconstruir la verdad que se busca con esos rastros, pueda afirmarse la existencia de la posesión veinteañal (CC0203 LP 112039 RSD-36-10 S 13-4-2012 JUBA B355325).-</w:t>
      </w:r>
    </w:p>
    <w:p>
      <w:pPr>
        <w:pStyle w:val="[Normal]"/>
        <w:spacing w:line="360" w:lineRule="auto"/>
        <w:ind w:firstLine="1134"/>
        <w:jc w:val="both"/>
        <w:rPr>
          <w:lang w:val="es-AR" w:eastAsia="es-AR" w:bidi="es-AR"/>
        </w:rPr>
      </w:pPr>
      <w:r>
        <w:rPr>
          <w:lang w:val="es-AR" w:eastAsia="es-AR" w:bidi="es-AR"/>
        </w:rPr>
        <w:t xml:space="preserve">En esta tónica, considero no se han producido otros medios probatorios (compra de materiales de construcción, pago de trabajos de albañilería, limpieza del terreno, entre otros) que puedan corroborar lo manifestado por los testigos ofrecidos.-</w:t>
      </w:r>
    </w:p>
    <w:p>
      <w:pPr>
        <w:pStyle w:val="[Normal]"/>
        <w:spacing w:line="360" w:lineRule="auto"/>
        <w:ind w:firstLine="1134"/>
        <w:jc w:val="both"/>
        <w:rPr>
          <w:i/>
          <w:lang w:val="es-AR" w:eastAsia="es-AR" w:bidi="es-AR"/>
        </w:rPr>
      </w:pPr>
      <w:r>
        <w:rPr>
          <w:lang w:val="es-AR" w:eastAsia="es-AR" w:bidi="es-AR"/>
        </w:rPr>
        <w:t xml:space="preserve">Tampoco consta agregada en autos el acta de la inspección ocular, prueba de trascendental importancia para complementar la prueba testimonial ya que ella sirve como evidencia física directa y objetiva del estado del inmueble y del ocupación actual del solicitante. Sobre ello tiene dicho esta Alzada "</w:t>
      </w:r>
      <w:r>
        <w:rPr>
          <w:i/>
          <w:lang w:val="es-AR" w:eastAsia="es-AR" w:bidi="es-AR"/>
        </w:rPr>
        <w:t xml:space="preserve">debe reputarse idónea la inspección ocular llevada a cabo en el inmueble para corroborar lo que surge de la testifical producida, integrando así la prueba compuesta. Es que con ella se comprueba que el acceso a la misma fue posibilitado por el poseedor sin la oposición de terceros, revelando la ocupación, la antigüedad de las construcciones, la plantación de árboles y otras mejoras</w:t>
      </w:r>
      <w:r>
        <w:rPr>
          <w:lang w:val="es-AR" w:eastAsia="es-AR" w:bidi="es-AR"/>
        </w:rPr>
        <w:t xml:space="preserve">" (CAP causa 1449 RSD-6-95 S 14/02/1995).-</w:t>
      </w:r>
    </w:p>
    <w:p>
      <w:pPr>
        <w:pStyle w:val="[Normal]"/>
        <w:spacing w:line="360" w:lineRule="auto"/>
        <w:ind w:firstLine="1134"/>
        <w:jc w:val="both"/>
        <w:rPr>
          <w:lang w:val="es-AR" w:eastAsia="es-AR" w:bidi="es-AR"/>
        </w:rPr>
      </w:pPr>
      <w:r>
        <w:rPr>
          <w:lang w:val="es-AR" w:eastAsia="es-AR" w:bidi="es-AR"/>
        </w:rPr>
        <w:t xml:space="preserve">Ahora bien, aún en supuesto de tenerse por probado el corpus posesorio mediante la realización de actos materiales, debe acreditarse ademas la posesión con ánimo de dueño, pues la existencia el primero no hace presumir la del segundo (cfr.  Cám. Civ. y Com Do, causa 85012 RSD 184/07). Y debe probarse no sólo la posesión animus domini actual, sino también la anterior y especialmente la que tuviera al inicio de la ocupación, como único medio de demostrar el cumplimiento del plazo legal (cfr. CC0003 SM 66994 D-145/12 S 14/11/2013 Juez PEREZ (SD) JUBA B3651195).-</w:t>
      </w:r>
    </w:p>
    <w:p>
      <w:pPr>
        <w:pStyle w:val="[Normal]"/>
        <w:spacing w:line="360" w:lineRule="auto"/>
        <w:ind w:firstLine="1134"/>
        <w:jc w:val="both"/>
        <w:rPr>
          <w:lang w:val="es-AR" w:eastAsia="es-AR" w:bidi="es-AR"/>
        </w:rPr>
      </w:pPr>
      <w:r>
        <w:rPr>
          <w:lang w:val="es-AR" w:eastAsia="es-AR" w:bidi="es-AR"/>
        </w:rPr>
        <w:t xml:space="preserve">Lucen agregadas en autos diversas facturas correspondientes al impuesto inmobiliario de los períodos 1977, 1978, 1979, 1982, 1983, 1985, 1986, 1987, 1990, 1991, 1994, 1996, 1999, 2001, 2002 y 2011. Asimismo, obran trece recibos relativos a la tasa por limpieza y conservación de la vía pública, alumbrado y servicios sanitarios. Sin embargo, no se acompañan las constancias fehacientes -tales como tickets, sellos o certificaciones oficiales- que acrediten el efectivo cumplimiento de las obligaciones tributarias referidas.</w:t>
      </w:r>
    </w:p>
    <w:p>
      <w:pPr>
        <w:pStyle w:val="[Normal]"/>
        <w:spacing w:line="360" w:lineRule="auto"/>
        <w:ind w:firstLine="1134"/>
        <w:jc w:val="both"/>
        <w:rPr>
          <w:lang w:val="es-AR" w:eastAsia="es-AR" w:bidi="es-AR"/>
        </w:rPr>
      </w:pPr>
      <w:r>
        <w:rPr>
          <w:lang w:val="es-AR" w:eastAsia="es-AR" w:bidi="es-AR"/>
        </w:rPr>
        <w:t xml:space="preserve">Sobre este extremo se ha dicho jurisprudencialmente</w:t>
      </w:r>
      <w:r>
        <w:rPr>
          <w:i/>
          <w:lang w:val="es-AR" w:eastAsia="es-AR" w:bidi="es-AR"/>
        </w:rPr>
        <w:t xml:space="preserve"> "El pago de los impuestos constituye una exteriorización del "animus rem sibi habendi", no hace más que exteriorizar el "animus domini" y una forma de probarlo es, evidentemente, acreditar que el poseedor se comportó como lo hace habitualmente un propietario, o sea, pagando, más o menos regularmente los gravámenes que afectan al inmueble. El pago de las obligaciones fiscales sirve así para comprobar el ánimo de dueño que tiene el ocupante y no el transcurso del término legal de prescripción, resultando en consecuencia admisible que no tenga una antigüedad que se remonte a todo el lapso de la usucapión, bastando que se ubique en algún momento bastante anterior a la demanda.</w:t>
      </w:r>
      <w:r>
        <w:rPr>
          <w:lang w:val="es-AR" w:eastAsia="es-AR" w:bidi="es-AR"/>
        </w:rPr>
        <w:t xml:space="preserve"> (CC0002 SM 57067 RSD-83-6 S 18/04/2006 JUBA 2004134).-</w:t>
      </w:r>
    </w:p>
    <w:p>
      <w:pPr>
        <w:pStyle w:val="[Normal]"/>
        <w:spacing w:line="360" w:lineRule="auto"/>
        <w:ind w:firstLine="1134"/>
        <w:jc w:val="both"/>
        <w:rPr>
          <w:lang w:val="es-AR" w:eastAsia="es-AR" w:bidi="es-AR"/>
        </w:rPr>
      </w:pPr>
      <w:r>
        <w:rPr>
          <w:lang w:val="es-AR" w:eastAsia="es-AR" w:bidi="es-AR"/>
        </w:rPr>
        <w:t xml:space="preserve">Se advierte asimismo la agregación de veinte comprobantes correspondientes al pago del servicio de energía eléctrica de los años 1981, 1982, 1984, 1988, 1989, 1990, 1992, 1993, 1994, 1995, 1998, 2001, 2004, 2005, 2010 y 2011, como así también nueve comprobantes de abono telefónico correspondientes a los años 1998, 1999, 2003, 2004, 2005, 2007, 2009 y 2011. No obstante, solo algunos de dichos instrumentos cuentan con el sello o constancia que acredita efectivamente su pago. </w:t>
      </w:r>
    </w:p>
    <w:p>
      <w:pPr>
        <w:pStyle w:val="[Normal]"/>
        <w:spacing w:line="360" w:lineRule="auto"/>
        <w:ind w:firstLine="1134"/>
        <w:jc w:val="both"/>
        <w:rPr>
          <w:lang w:val="es-AR" w:eastAsia="es-AR" w:bidi="es-AR"/>
        </w:rPr>
      </w:pPr>
      <w:r>
        <w:rPr>
          <w:lang w:val="es-AR" w:eastAsia="es-AR" w:bidi="es-AR"/>
        </w:rPr>
        <w:t xml:space="preserve">Cuadra recordar, aún en el supuesto de haberse considerado todos ellos por tributados, que el pago de servicios por sí solo no es suficiente para tener por adquirido el dominio por usucapión, dándose especial consideración al pago de impuestos y tasas que graven al inmueble (art. 24 ley 14.159). (CC0202 LP 125323 RSD 170/19 S 01/07/2019 JUBA B5062579).-</w:t>
      </w:r>
    </w:p>
    <w:p>
      <w:pPr>
        <w:pStyle w:val="[Normal]"/>
        <w:spacing w:line="360" w:lineRule="auto"/>
        <w:ind w:firstLine="1134"/>
        <w:jc w:val="both"/>
        <w:rPr>
          <w:lang w:val="es-AR" w:eastAsia="es-AR" w:bidi="es-AR"/>
        </w:rPr>
      </w:pPr>
      <w:r>
        <w:rPr>
          <w:lang w:val="es-AR" w:eastAsia="es-AR" w:bidi="es-AR"/>
        </w:rPr>
        <w:t xml:space="preserve">Del análisis integral de la prueba producida en autos no surge acreditado acto posesorio alguno por parte de los actores que revele la intención de ejercer un poder de hecho sobre el bien. La prueba testimonial carece de suficiente respaldo documental y los pocos elementos incorporados (facturas, tasas, servicios) no alcanzan para acreditar la posesión continua, pública y pacífica por el plazo legal (Arts. 1899, 1915, 1928 y ss del CCyC; Arts. 375,384 y ccts CPCC).-</w:t>
      </w:r>
    </w:p>
    <w:p>
      <w:pPr>
        <w:pStyle w:val="[Normal]"/>
        <w:spacing w:line="360" w:lineRule="auto"/>
        <w:ind w:firstLine="1134"/>
        <w:jc w:val="both"/>
        <w:rPr>
          <w:lang w:val="es-AR" w:eastAsia="es-AR" w:bidi="es-AR"/>
        </w:rPr>
      </w:pPr>
      <w:r>
        <w:rPr>
          <w:lang w:val="es-AR" w:eastAsia="es-AR" w:bidi="es-AR"/>
        </w:rPr>
        <w:t xml:space="preserve">Por todo lo expuesto, no encontrándose acreditado ninguno de los extremos exigidos por la normativa aplicable en la materia por el plazo requerido por la ley, estimo ajustada a derecho la decisión del primer juzgador.-</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su mérito confirmar el fallo puesto en crisis.-</w:t>
      </w:r>
    </w:p>
    <w:p>
      <w:pPr>
        <w:pStyle w:val="[Normal]"/>
        <w:spacing w:line="360" w:lineRule="auto"/>
        <w:ind w:firstLine="1134"/>
        <w:jc w:val="both"/>
        <w:rPr>
          <w:lang w:val="es-AR" w:eastAsia="es-AR" w:bidi="es-AR"/>
        </w:rPr>
      </w:pPr>
      <w:r>
        <w:rPr>
          <w:lang w:val="es-AR" w:eastAsia="es-AR" w:bidi="es-AR"/>
        </w:rPr>
        <w:t xml:space="preserve">Costas de Alzada al apelante vencido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actora y en su mérito confirmar el fallo puesto en crisis.-</w:t>
      </w:r>
    </w:p>
    <w:p>
      <w:pPr>
        <w:pStyle w:val="[Normal]"/>
        <w:spacing w:line="360" w:lineRule="auto"/>
        <w:ind w:firstLine="1134"/>
        <w:jc w:val="both"/>
        <w:rPr>
          <w:lang w:val="es-AR" w:eastAsia="es-AR" w:bidi="es-AR"/>
        </w:rPr>
      </w:pPr>
      <w:r>
        <w:rPr>
          <w:lang w:val="es-AR" w:eastAsia="es-AR" w:bidi="es-AR"/>
        </w:rPr>
        <w:t xml:space="preserve">Costas de Alzada al apelante vencido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30/09/2025 10:21:30 -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30/09/2025 10:58:09 -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30/09/2025 11:04:16 -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‰7'")è&amp;],_jŠ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230702090006611263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30/09/2025 11:04:52 hs. bajo el número RS-129-2025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