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5425-24</w:t>
      </w:r>
      <w:r>
        <w:rPr>
          <w:lang w:val="es-AR" w:eastAsia="es-AR" w:bidi="es-AR"/>
        </w:rPr>
        <w:t xml:space="preserve"> caratulada </w:t>
      </w:r>
      <w:r>
        <w:rPr>
          <w:b/>
          <w:lang w:val="es-AR" w:eastAsia="es-AR" w:bidi="es-AR"/>
        </w:rPr>
        <w:t xml:space="preserve">"</w:t>
      </w:r>
      <w:r>
        <w:rPr>
          <w:b/>
          <w:color w:val="000000"/>
          <w:lang w:val="es-AR" w:eastAsia="es-AR" w:bidi="es-AR"/>
        </w:rPr>
        <w:t xml:space="preserve">TASORI EUGENIA CAROLINA C/ ANDRADA AMANDA LUIS S/ PRESCRIPCION ADQUISITIVA LARGA</w:t>
      </w:r>
      <w:r>
        <w:rPr>
          <w:b/>
          <w:lang w:val="es-AR" w:eastAsia="es-AR" w:bidi="es-AR"/>
        </w:rPr>
        <w:t xml:space="preserve">"</w:t>
      </w:r>
      <w:r>
        <w:rPr>
          <w:lang w:val="es-AR" w:eastAsia="es-AR" w:bidi="es-AR"/>
        </w:rPr>
        <w:t xml:space="preserve">, Expte. 77.148 del Juzgado en lo Civil y Comercial N°1,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rechazó la demanda que por prescripción adquisitiva veinteañal inició Tasori Eugenia Carolina contra Andrada Amanda Luis sobre el bien identificado catastralmente como: Circ. l, Secc. B, Mza. 115, Parc 20, partida inmobiliaria 21833, matrícula 35.043 del partido de Pergamino (082). Impuso las costas a la actora por resultar vencida y difirió la regulación de honorarios hasta tanto se cumpla con lo dispuesto en el artículo 27 de la ley 14.967.-</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en fecha 20-3-2025, quien expresa agravios el 28-4-2025, habiendo la defensora oficial contestado el traslado conferido en fecha 24-6-2025.-</w:t>
      </w:r>
    </w:p>
    <w:p>
      <w:pPr>
        <w:pStyle w:val="[Normal]"/>
        <w:spacing w:line="360" w:lineRule="auto"/>
        <w:ind w:firstLine="1134"/>
        <w:jc w:val="both"/>
        <w:rPr>
          <w:lang w:val="es-AR" w:eastAsia="es-AR" w:bidi="es-AR"/>
        </w:rPr>
      </w:pPr>
      <w:r>
        <w:rPr>
          <w:lang w:val="es-AR" w:eastAsia="es-AR" w:bidi="es-AR"/>
        </w:rPr>
        <w:t xml:space="preserve">En fecha 26-6-2025 se dictó el llamamiento de autos para sentencia,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Centra su crítica la quejosa en la sentencia de grado que rechazo su demanda para prescribir el inmueble identificado en autos.-</w:t>
      </w:r>
    </w:p>
    <w:p>
      <w:pPr>
        <w:pStyle w:val="[Normal]"/>
        <w:spacing w:line="360" w:lineRule="auto"/>
        <w:ind w:firstLine="1134"/>
        <w:jc w:val="both"/>
        <w:rPr>
          <w:lang w:val="es-AR" w:eastAsia="es-AR" w:bidi="es-AR"/>
        </w:rPr>
      </w:pPr>
      <w:r>
        <w:rPr>
          <w:lang w:val="es-AR" w:eastAsia="es-AR" w:bidi="es-AR"/>
        </w:rPr>
        <w:t xml:space="preserve">Sostiene que el juez omitió considerar la existencia de la cesión de acciones y derechos posesorios celebrada el 29-7-2016 entre ella y su madre la Sra. Santa Alda Espindola, con firmas certificadas por escribana pública respecto del inmueble. Alega que dicha cesión -incorporada al expediente- acredita la transmisión de los derechos posesorios que ejercía la cedente sobre el bien.-</w:t>
      </w:r>
    </w:p>
    <w:p>
      <w:pPr>
        <w:pStyle w:val="[Normal]"/>
        <w:spacing w:line="360" w:lineRule="auto"/>
        <w:ind w:firstLine="1134"/>
        <w:jc w:val="both"/>
        <w:rPr>
          <w:lang w:val="es-AR" w:eastAsia="es-AR" w:bidi="es-AR"/>
        </w:rPr>
      </w:pPr>
      <w:r>
        <w:rPr>
          <w:lang w:val="es-AR" w:eastAsia="es-AR" w:bidi="es-AR"/>
        </w:rPr>
        <w:t xml:space="preserve">Cuestiona la conclusión del sentenciante en cuanto a que no se habría probado el animus domini.-</w:t>
      </w:r>
    </w:p>
    <w:p>
      <w:pPr>
        <w:pStyle w:val="[Normal]"/>
        <w:spacing w:line="360" w:lineRule="auto"/>
        <w:ind w:firstLine="1134"/>
        <w:jc w:val="both"/>
        <w:rPr>
          <w:lang w:val="es-AR" w:eastAsia="es-AR" w:bidi="es-AR"/>
        </w:rPr>
      </w:pPr>
      <w:r>
        <w:rPr>
          <w:lang w:val="es-AR" w:eastAsia="es-AR" w:bidi="es-AR"/>
        </w:rPr>
        <w:t xml:space="preserve">Afirma que la prueba testimonial y documental producida demuestra que tanto la Sra. Espindola como la actora ejercieron posesión pacífica, pública e ininterrumpida con carácter de dueñas, efectuando mejoras, conservación y actos materiales sobre el inmueble durante un lapso superior al previsto por la ley para la prescripción adquisitiva.-</w:t>
      </w:r>
    </w:p>
    <w:p>
      <w:pPr>
        <w:pStyle w:val="[Normal]"/>
        <w:spacing w:line="360" w:lineRule="auto"/>
        <w:ind w:firstLine="1134"/>
        <w:jc w:val="both"/>
        <w:rPr>
          <w:lang w:val="es-AR" w:eastAsia="es-AR" w:bidi="es-AR"/>
        </w:rPr>
      </w:pPr>
      <w:r>
        <w:rPr>
          <w:lang w:val="es-AR" w:eastAsia="es-AR" w:bidi="es-AR"/>
        </w:rPr>
        <w:t xml:space="preserve"> Señala que a ello se suma la inspección ocular, de la que surgen actos posesorios concordantes con lo declarado por los testigos.-</w:t>
      </w:r>
    </w:p>
    <w:p>
      <w:pPr>
        <w:pStyle w:val="[Normal]"/>
        <w:spacing w:line="360" w:lineRule="auto"/>
        <w:ind w:firstLine="1134"/>
        <w:jc w:val="both"/>
        <w:rPr>
          <w:lang w:val="es-AR" w:eastAsia="es-AR" w:bidi="es-AR"/>
        </w:rPr>
      </w:pPr>
      <w:r>
        <w:rPr>
          <w:lang w:val="es-AR" w:eastAsia="es-AR" w:bidi="es-AR"/>
        </w:rPr>
        <w:t xml:space="preserve">Objeta la valoración efectuada respecto al pago de impuestos, tasas y contribuciones, entendiendo que la actora sí ha cumplido con dicha obligación, aportando comprobantes de pagos de tributos municipales, impuestos inmobiliarios, servicios y otros conceptos desde años anteriores, incluso asumiendo deudas judiciales por el inmueble.-</w:t>
      </w:r>
    </w:p>
    <w:p>
      <w:pPr>
        <w:pStyle w:val="[Normal]"/>
        <w:spacing w:line="360" w:lineRule="auto"/>
        <w:ind w:firstLine="1134"/>
        <w:jc w:val="both"/>
        <w:rPr>
          <w:lang w:val="es-AR" w:eastAsia="es-AR" w:bidi="es-AR"/>
        </w:rPr>
      </w:pPr>
      <w:r>
        <w:rPr>
          <w:lang w:val="es-AR" w:eastAsia="es-AR" w:bidi="es-AR"/>
        </w:rPr>
        <w:t xml:space="preserve">Reconoce que por un error no se adjuntaron oportunamente todos los comprobantes, pero sostiene que, conforme jurisprudencia de la Suprema Corte provincial, la falta de acreditación plena de este extremo no impide declarar la usucapión si el resto de la prueba resulta concluyente.-</w:t>
      </w:r>
    </w:p>
    <w:p>
      <w:pPr>
        <w:pStyle w:val="[Normal]"/>
        <w:spacing w:line="360" w:lineRule="auto"/>
        <w:ind w:firstLine="1134"/>
        <w:jc w:val="both"/>
        <w:rPr>
          <w:lang w:val="es-AR" w:eastAsia="es-AR" w:bidi="es-AR"/>
        </w:rPr>
      </w:pPr>
      <w:r>
        <w:rPr>
          <w:lang w:val="es-AR" w:eastAsia="es-AR" w:bidi="es-AR"/>
        </w:rPr>
        <w:t xml:space="preserve">Para finalizar, solicita se revoque la sentencia apelada y se haga lugar a la demanda de prescripción adquisitiva entablada.-</w:t>
      </w:r>
    </w:p>
    <w:p>
      <w:pPr>
        <w:pStyle w:val="[Normal]"/>
        <w:spacing w:line="360" w:lineRule="auto"/>
        <w:ind w:firstLine="1134"/>
        <w:jc w:val="both"/>
        <w:rPr>
          <w:lang w:val="es-AR" w:eastAsia="es-AR" w:bidi="es-AR"/>
        </w:rPr>
      </w:pPr>
      <w:r>
        <w:rPr>
          <w:lang w:val="es-AR" w:eastAsia="es-AR" w:bidi="es-AR"/>
        </w:rPr>
        <w:t xml:space="preserve">Al contestar el traslado conferido, la secretaria de la Defensoria considera que la actora no ha logrado satisfacer la carga de la prueba que sobre ella pesaba, solicitando se confirme la sentencia atacada.-</w:t>
      </w:r>
    </w:p>
    <w:p>
      <w:pPr>
        <w:pStyle w:val="[Normal]"/>
        <w:spacing w:line="360" w:lineRule="auto"/>
        <w:ind w:firstLine="1134"/>
        <w:jc w:val="both"/>
        <w:rPr>
          <w:lang w:val="es-AR" w:eastAsia="es-AR" w:bidi="es-AR"/>
        </w:rPr>
      </w:pPr>
      <w:r>
        <w:rPr>
          <w:lang w:val="es-AR" w:eastAsia="es-AR" w:bidi="es-AR"/>
        </w:rPr>
        <w:t xml:space="preserve">Entrando a resolver, corresponde destacar que el instituto de la prescripción adquisitiva exige una valoración estricta y rigurosa de la prueba, conforme reiterada doctrina de la Suprema Corte de la Provincia de Buenos Aires (cfr. SCBA, causa C 98364 del 11/03/2009; causa C 98183 del 11/11/2009).</w:t>
      </w:r>
    </w:p>
    <w:p>
      <w:pPr>
        <w:pStyle w:val="[Normal]"/>
        <w:spacing w:line="360" w:lineRule="auto"/>
        <w:ind w:firstLine="1134"/>
        <w:jc w:val="both"/>
        <w:rPr>
          <w:lang w:val="es-AR" w:eastAsia="es-AR" w:bidi="es-AR"/>
        </w:rPr>
      </w:pPr>
      <w:r>
        <w:rPr>
          <w:lang w:val="es-AR" w:eastAsia="es-AR" w:bidi="es-AR"/>
        </w:rPr>
        <w:t xml:space="preserve">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Respecto del primero de los recaudos -corpus-, ha de considerarse que de los testimonios brindados por Sergio Manuel Francisco, Nora Nocelli y Ceferina Bracamonte se desprende que la actora ocupa el inmueble hace más de  30 años y que durante dicho periodo hicieron arreglos, ampliaciones y mantienen el lugar limpio. Además confirman que quién ingreso al inmueble en calidad de ocupante fue la madre de la actora.-</w:t>
      </w:r>
    </w:p>
    <w:p>
      <w:pPr>
        <w:pStyle w:val="[Normal]"/>
        <w:spacing w:line="360" w:lineRule="auto"/>
        <w:ind w:firstLine="1134"/>
        <w:jc w:val="both"/>
        <w:rPr>
          <w:lang w:val="es-AR" w:eastAsia="es-AR" w:bidi="es-AR"/>
        </w:rPr>
      </w:pPr>
      <w:r>
        <w:rPr>
          <w:lang w:val="es-AR" w:eastAsia="es-AR" w:bidi="es-AR"/>
        </w:rPr>
        <w:t xml:space="preserve">Recuérdase que la prueba testimonial es insuficiente por sí sola, siendo preciso por tanto confrontar o ratificar los dichos de los testigos con otras pruebas 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I JUBA B355325).-</w:t>
      </w:r>
    </w:p>
    <w:p>
      <w:pPr>
        <w:pStyle w:val="[Normal]"/>
        <w:spacing w:line="360" w:lineRule="auto"/>
        <w:ind w:firstLine="1134"/>
        <w:jc w:val="both"/>
        <w:rPr>
          <w:lang w:val="es-AR" w:eastAsia="es-AR" w:bidi="es-AR"/>
        </w:rPr>
      </w:pPr>
      <w:r>
        <w:rPr>
          <w:lang w:val="es-AR" w:eastAsia="es-AR" w:bidi="es-AR"/>
        </w:rPr>
        <w:t xml:space="preserve">En esta tónica, no se acompañaron otros medios de prueba que corroboren tales dichos, y permitan inferir que la accionante ocupó el inmueble por mas de 30 años como sostienen los testigos.-</w:t>
      </w:r>
    </w:p>
    <w:p>
      <w:pPr>
        <w:pStyle w:val="[Normal]"/>
        <w:spacing w:line="360" w:lineRule="auto"/>
        <w:ind w:firstLine="1134"/>
        <w:jc w:val="both"/>
        <w:rPr>
          <w:lang w:val="es-AR" w:eastAsia="es-AR" w:bidi="es-AR"/>
        </w:rPr>
      </w:pPr>
      <w:r>
        <w:rPr>
          <w:lang w:val="es-AR" w:eastAsia="es-AR" w:bidi="es-AR"/>
        </w:rPr>
        <w:t xml:space="preserve">Siguiendo este razonamiento, y ante la falta de comprobantes  (compra de materiales de construcción, pago de trabajos de albañilería, limpieza del terreno, entre otros) que puedan corroborar actos materiales de posesión sobre el inmueble hay que analizar la cesión de acciones y derechos posesorios realizada en el año 2016 entre la actora y su madre Santa Alda Espindola, que como ya he dicho en mi voto de la causa 5370-24 </w:t>
      </w:r>
      <w:r>
        <w:rPr>
          <w:i/>
          <w:lang w:val="es-AR" w:eastAsia="es-AR" w:bidi="es-AR"/>
        </w:rPr>
        <w:t xml:space="preserve">"...si bien las escrituras arrimadas resultan ser instrumentos públicos, es sabido que el notario da fe sólo del acto acontecido en su presencia y no de las afirmaciones y apreciaciones de los comparecientes, lo cual no significa -como se adelantara- que los contratos celebrados no sean idóneos a los efectos de la accesión de las posesiones sino que no son hábiles para probar la posesión en sí mismos, que requiere de actos materiales (art. 296 C.C.yC. y su doctrina)".-</w:t>
      </w:r>
    </w:p>
    <w:p>
      <w:pPr>
        <w:pStyle w:val="[Normal]"/>
        <w:spacing w:line="360" w:lineRule="auto"/>
        <w:ind w:firstLine="1134"/>
        <w:jc w:val="both"/>
        <w:rPr>
          <w:lang w:val="es-AR" w:eastAsia="es-AR" w:bidi="es-AR"/>
        </w:rPr>
      </w:pPr>
      <w:r>
        <w:rPr>
          <w:lang w:val="es-AR" w:eastAsia="es-AR" w:bidi="es-AR"/>
        </w:rPr>
        <w:t xml:space="preserve">Ahora bien, aún en supuesto de tenerse por probado el corpus posesorio mediante la realización de actos materiales, debe acreditarse ademas la posesión con ánimo de dueño, pues la existencia el primero no hace presumir la del segundo (cfr.  Cám. Civ. y Com Do, causa 85012 RSD 184/07).  Y debe probarse no sólo la posesión animus domini actual, sino también la anterior y especialmente la que tuviera al inicio de la ocupación, como único medio de demostrar el cumplimiento del plazo legal (cfr. CC0003 SM 66994 D-145/12 S 14/11/2013 JUBA B3651195).-</w:t>
      </w:r>
    </w:p>
    <w:p>
      <w:pPr>
        <w:pStyle w:val="[Normal]"/>
        <w:spacing w:line="360" w:lineRule="auto"/>
        <w:ind w:firstLine="1134"/>
        <w:jc w:val="both"/>
        <w:rPr>
          <w:lang w:val="es-AR" w:eastAsia="es-AR" w:bidi="es-AR"/>
        </w:rPr>
      </w:pPr>
      <w:r>
        <w:rPr>
          <w:lang w:val="es-AR" w:eastAsia="es-AR" w:bidi="es-AR"/>
        </w:rPr>
        <w:t xml:space="preserve">Respecto a este extremo, el cuál resulta de suma importancia debido a que es carga del ocupante que invoca para sí el título de dueño probar el ánimo de tener la cosa para sí, se aprecia cierto déficit por parte de la actora quien no ha acompañado ninguna constancia de pago de impuesto realizado por ella o por su madre.-</w:t>
      </w:r>
    </w:p>
    <w:p>
      <w:pPr>
        <w:pStyle w:val="[Normal]"/>
        <w:spacing w:line="360" w:lineRule="auto"/>
        <w:ind w:firstLine="1134"/>
        <w:jc w:val="both"/>
        <w:rPr>
          <w:lang w:val="es-AR" w:eastAsia="es-AR" w:bidi="es-AR"/>
        </w:rPr>
      </w:pPr>
      <w:r>
        <w:rPr>
          <w:lang w:val="es-AR" w:eastAsia="es-AR" w:bidi="es-AR"/>
        </w:rPr>
        <w:t xml:space="preserve">Tal es así, que la propia actora en su expresión de agravios (ver P.E de 28-4-2025) solicitó la apertura de la causa a prueba en esta instancia para incorporar recibos de impuestos abonados que no fueron acompañados al promover la demanda. Dicho requerimiento fue oportunamente rechazado por este Tribunal, lo que evidencia que, al momento de trabarse la litis el extremo invocado no resultó debidamente acreditado.-</w:t>
      </w:r>
    </w:p>
    <w:p>
      <w:pPr>
        <w:pStyle w:val="[Normal]"/>
        <w:spacing w:line="360" w:lineRule="auto"/>
        <w:ind w:firstLine="1134"/>
        <w:jc w:val="both"/>
        <w:rPr>
          <w:i/>
          <w:lang w:val="es-AR" w:eastAsia="es-AR" w:bidi="es-AR"/>
        </w:rPr>
      </w:pPr>
      <w:r>
        <w:rPr>
          <w:lang w:val="es-AR" w:eastAsia="es-AR" w:bidi="es-AR"/>
        </w:rPr>
        <w:t xml:space="preserve">Sobre ello, se ha sostenido jurisprudencialmente </w:t>
      </w:r>
      <w:r>
        <w:rPr>
          <w:i/>
          <w:lang w:val="es-AR" w:eastAsia="es-AR" w:bidi="es-AR"/>
        </w:rPr>
        <w:t xml:space="preserve">"El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w:t>
      </w:r>
      <w:r>
        <w:rPr>
          <w:i/>
          <w:lang w:val="es-AR" w:eastAsia="es-AR" w:bidi="es-AR"/>
        </w:rPr>
        <w:t xml:space="preserve">(CC0002 SM 57067 RSD-83-6 S 18/04/2006 JUBA 2004134).-</w:t>
      </w:r>
    </w:p>
    <w:p>
      <w:pPr>
        <w:pStyle w:val="[Normal]"/>
        <w:spacing w:line="360" w:lineRule="auto"/>
        <w:ind w:firstLine="1134"/>
        <w:jc w:val="both"/>
        <w:rPr>
          <w:lang w:val="es-AR" w:eastAsia="es-AR" w:bidi="es-AR"/>
        </w:rPr>
      </w:pPr>
      <w:r>
        <w:rPr>
          <w:lang w:val="es-AR" w:eastAsia="es-AR" w:bidi="es-AR"/>
        </w:rPr>
        <w:t xml:space="preserve">Del análisis integral de la prueba producida en autos se desprende que, si bien la Sra. Eugenia Carolina Tasori habría detentado la posesión del inmueble durante determinado lapso, ello no resulta suficiente para tener por acreditado que dicha ocupación se ejerció con el ‘animus domini’ exigido para la adquisición del dominio por prescripción. La parte actora no cumplió con la carga probatoria que sobre ella recaía, ni aportó la prueba compuesta requerida por el instituto en cuestión, ni acreditó el plazo legal establecido por la normativa vigente para tener por adquirida la propiedad por prescripción adquisitiva (conf. arts. 1899 y ss. CCCN y arts. 375 y 384 CPCC).</w:t>
      </w:r>
    </w:p>
    <w:p>
      <w:pPr>
        <w:pStyle w:val="[Normal]"/>
        <w:spacing w:line="360" w:lineRule="auto"/>
        <w:ind w:firstLine="1134"/>
        <w:jc w:val="both"/>
        <w:rPr>
          <w:lang w:val="es-AR" w:eastAsia="es-AR" w:bidi="es-AR"/>
        </w:rPr>
      </w:pPr>
      <w:r>
        <w:rPr>
          <w:lang w:val="es-AR" w:eastAsia="es-AR" w:bidi="es-AR"/>
        </w:rPr>
        <w:t xml:space="preserve">Por todo lo expuesto, no encontrándose acreditado ninguno de los extremos exigidos por la normativa aplicable en la materia por el plazo requerido por la ley, estimo ajustada a derecho la decisión del primer juzgador.-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al apelante vencido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al apelante vencido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10:21:03 -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10:57:56 -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11:06:36 -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‰7}")è&amp;`VL4Š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239302090006645444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30/09/2025 11:06:49 hs. bajo el número RS-130-2025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