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5788-25</w:t>
      </w:r>
      <w:r>
        <w:rPr>
          <w:lang w:val="es-AR" w:eastAsia="es-AR" w:bidi="es-AR"/>
        </w:rPr>
        <w:t xml:space="preserve"> caratulada </w:t>
      </w:r>
      <w:r>
        <w:rPr>
          <w:b/>
          <w:lang w:val="es-AR" w:eastAsia="es-AR" w:bidi="es-AR"/>
        </w:rPr>
        <w:t xml:space="preserve">"F., H. S. C/ M., A. R. Y OTRO S/INCIDENTE DE ALIMENTOS"</w:t>
      </w:r>
      <w:r>
        <w:rPr>
          <w:lang w:val="es-AR" w:eastAsia="es-AR" w:bidi="es-AR"/>
        </w:rPr>
        <w:t xml:space="preserve">, Expte. N° </w:t>
      </w:r>
      <w:r>
        <w:rPr>
          <w:color w:val="000000"/>
          <w:lang w:val="es-AR" w:eastAsia="es-AR" w:bidi="es-AR"/>
        </w:rPr>
        <w:t xml:space="preserve">46.769 </w:t>
      </w:r>
      <w:r>
        <w:rPr>
          <w:lang w:val="es-AR" w:eastAsia="es-AR" w:bidi="es-AR"/>
        </w:rPr>
        <w:t xml:space="preserve">del Juzgado de Paz Letrado de Colón</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señora Jueza de la anterior sede rechazó la demanda incoada por H. S. F., de modificación de cuota alimentaria establecida judicialmente en el expediente N°  43.511 e impuso las costas al perdidoso. </w:t>
      </w:r>
    </w:p>
    <w:p>
      <w:pPr>
        <w:pStyle w:val="[Normal]"/>
        <w:spacing w:line="360" w:lineRule="auto"/>
        <w:ind w:firstLine="1134"/>
        <w:jc w:val="both"/>
        <w:rPr>
          <w:lang w:val="es-AR" w:eastAsia="es-AR" w:bidi="es-AR"/>
        </w:rPr>
      </w:pPr>
      <w:r>
        <w:rPr>
          <w:lang w:val="es-AR" w:eastAsia="es-AR" w:bidi="es-AR"/>
        </w:rPr>
        <w:t xml:space="preserve">En disconformidad con lo resuelto apela el actor el 10-6-2025, recurso concedido en relación el 26-6-25, fundándolo en fecha 27-6-2025, contestando el traslado conferido el 16-7-2025.</w:t>
      </w:r>
    </w:p>
    <w:p>
      <w:pPr>
        <w:pStyle w:val="[Normal]"/>
        <w:spacing w:line="360" w:lineRule="auto"/>
        <w:ind w:firstLine="1134"/>
        <w:jc w:val="both"/>
        <w:rPr>
          <w:lang w:val="es-AR" w:eastAsia="es-AR" w:bidi="es-AR"/>
        </w:rPr>
      </w:pPr>
      <w:r>
        <w:rPr>
          <w:lang w:val="es-AR" w:eastAsia="es-AR" w:bidi="es-AR"/>
        </w:rPr>
        <w:t xml:space="preserve">Ingresados la causa el 14-8-2025 a este organismo se dicta el llamamiento de autos para resolver,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Los agravios esgrimidos por el Sr. F. agregados electrónicamente versan sobre los siguientes puntos: 1) Violación del principio de autonomía progresiva, por considerar que no se habilitó el pago de manera directa por parte de N. que ya tiene 19 años, en clara violación al art. 662 del CCyC. 2) Inobservancia de la corresponsabilidad parental, manteniendo la carga alimentaria sólo sobre el progenitor. 3) Arbitraria valoración de la prueba, sosteniendo que aportó indicios serios de que su hija convive con su pareja. 4) Imposición injustificada de costas.- Por lo expuesto solicita se revoque la sentencia y, se declare que la obligación alimentaria recaiga en partes iguales sobre cada progenitor, o el porcentaje que se estime equitativo. Asimismo, peticiona que se autorice el pago directo de la cuota a N. F. en la cuenta que esta indique. Se impongan las costas por su orden.</w:t>
      </w:r>
    </w:p>
    <w:p>
      <w:pPr>
        <w:pStyle w:val="[Normal]"/>
        <w:spacing w:line="360" w:lineRule="auto"/>
        <w:ind w:firstLine="1134"/>
        <w:jc w:val="both"/>
        <w:rPr>
          <w:lang w:val="es-AR" w:eastAsia="es-AR" w:bidi="es-AR"/>
        </w:rPr>
      </w:pPr>
      <w:r>
        <w:rPr>
          <w:lang w:val="es-AR" w:eastAsia="es-AR" w:bidi="es-AR"/>
        </w:rPr>
        <w:t xml:space="preserve">La contraparte contesta el 16/7/2025 el traslado conferido e impetra se declare desierto el recurso interpuesto por falta de crítica concreta y razonada del fallo. En subsidio, peticiona su rechazo con expresa imposición de costas al actor.</w:t>
      </w:r>
    </w:p>
    <w:p>
      <w:pPr>
        <w:pStyle w:val="[Normal]"/>
        <w:spacing w:line="360" w:lineRule="auto"/>
        <w:ind w:firstLine="1134"/>
        <w:jc w:val="both"/>
        <w:rPr>
          <w:lang w:val="es-AR" w:eastAsia="es-AR" w:bidi="es-AR"/>
        </w:rPr>
      </w:pPr>
      <w:r>
        <w:rPr>
          <w:lang w:val="es-AR" w:eastAsia="es-AR" w:bidi="es-AR"/>
        </w:rPr>
        <w:t xml:space="preserve">I.- Liminarmente he de abordar la cuestión introducida expresamente por la parte demandada en su responde relativa al incumplimiento de los recaudos establecidos por el art. 260 del CPCC, cabe señalar que de la lectura del memorial arrimado por la demandada se advierte una crítica concreta y razonada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II.- Entrando a resolver, resulta dable recordar que la posibilidad de modificación de la cuota alimentaria siempre esta al alcance de la parte interesada, la que se encuentra supeditada a la efectiva variación de los presupuestos de hecho que fueron tenidos en cuenta para establecerla originariamente, sea que se modificaran las posibilidades del alimentante o las necesidades del alimentado.-</w:t>
      </w:r>
    </w:p>
    <w:p>
      <w:pPr>
        <w:pStyle w:val="[Normal]"/>
        <w:spacing w:line="360" w:lineRule="auto"/>
        <w:ind w:firstLine="1134"/>
        <w:jc w:val="both"/>
        <w:rPr>
          <w:lang w:val="es-AR" w:eastAsia="es-AR" w:bidi="es-AR"/>
        </w:rPr>
      </w:pPr>
      <w:r>
        <w:rPr>
          <w:lang w:val="es-AR" w:eastAsia="es-AR" w:bidi="es-AR"/>
        </w:rPr>
        <w:t xml:space="preserve">En tal sentido, ha dicho esta Alzada que ..</w:t>
      </w:r>
      <w:r>
        <w:rPr>
          <w:i/>
          <w:lang w:val="es-AR" w:eastAsia="es-AR" w:bidi="es-AR"/>
        </w:rPr>
        <w:t xml:space="preserve">.”la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alimentado”</w:t>
      </w:r>
      <w:r>
        <w:rPr>
          <w:lang w:val="es-AR" w:eastAsia="es-AR" w:bidi="es-AR"/>
        </w:rPr>
        <w:t xml:space="preserve"> (RSD Nº 99-14, del 22 de septiembre de 2014).-</w:t>
      </w:r>
    </w:p>
    <w:p>
      <w:pPr>
        <w:pStyle w:val="[Normal]"/>
        <w:spacing w:line="360" w:lineRule="auto"/>
        <w:ind w:firstLine="1134"/>
        <w:jc w:val="both"/>
        <w:rPr>
          <w:lang w:val="es-AR" w:eastAsia="es-AR" w:bidi="es-AR"/>
        </w:rPr>
      </w:pPr>
      <w:r>
        <w:rPr>
          <w:lang w:val="es-AR" w:eastAsia="es-AR" w:bidi="es-AR"/>
        </w:rPr>
        <w:t xml:space="preserve">Sabido es que "</w:t>
      </w:r>
      <w:r>
        <w:rPr>
          <w:i/>
          <w:lang w:val="es-AR" w:eastAsia="es-AR" w:bidi="es-AR"/>
        </w:rPr>
        <w:t xml:space="preserve">La cuota alimentaria que se fija en un proceso judicial es por esencia modificable, circunstancial y variable; su alteración -aumento o disminución- e incluso la cesación de la cuota de alimentos ya fijada por sentencia o convenio, procederá si ha habido con posterioridad a ese momento una variación de los presupuestos fácticos que se tuvieron en cuenta para establecerla."</w:t>
      </w:r>
      <w:r>
        <w:rPr>
          <w:lang w:val="es-AR" w:eastAsia="es-AR" w:bidi="es-AR"/>
        </w:rPr>
        <w:t xml:space="preserve"> (CC0201 LP 134131 340 S 24/09/2024 Juez SOSA AUBONE (SD), Sumario JUBA B259372).</w:t>
      </w:r>
    </w:p>
    <w:p>
      <w:pPr>
        <w:pStyle w:val="[Normal]"/>
        <w:spacing w:line="360" w:lineRule="auto"/>
        <w:ind w:firstLine="1134"/>
        <w:jc w:val="both"/>
        <w:rPr>
          <w:lang w:val="es-AR" w:eastAsia="es-AR" w:bidi="es-AR"/>
        </w:rPr>
      </w:pPr>
      <w:r>
        <w:rPr>
          <w:lang w:val="es-AR" w:eastAsia="es-AR" w:bidi="es-AR"/>
        </w:rPr>
        <w:t xml:space="preserve">En el caso, se ha presentado el progenitor de la joven N., quien en mayo del año 2024 inició el presente incidente a fin de modificar la cuota alimentaria fijada en favor de su hija mediante sentencia dictada el 7/11/2023 en la causa 43.511. Funda su pedido en que su hija vive en concubinato, no se encuentra estudiando y no trabaja, por lo que solicita se modifique la cuota fijada, estableciendo el pago de la misma (18% de la pensión) en partes iguales por ambos progenitores y que la cobre de manera directa en la cuenta que ella denuncie.</w:t>
      </w:r>
    </w:p>
    <w:p>
      <w:pPr>
        <w:pStyle w:val="[Normal]"/>
        <w:spacing w:line="360" w:lineRule="auto"/>
        <w:ind w:firstLine="1134"/>
        <w:jc w:val="both"/>
        <w:rPr>
          <w:lang w:val="es-AR" w:eastAsia="es-AR" w:bidi="es-AR"/>
        </w:rPr>
      </w:pPr>
      <w:r>
        <w:rPr>
          <w:lang w:val="es-AR" w:eastAsia="es-AR" w:bidi="es-AR"/>
        </w:rPr>
        <w:t xml:space="preserve">La jueza de origen rechazó tal petición, mediante una resolución fundada, pues concluyó que el incidentista no acreditó ninguno de los extremos invocados en su libelo inicial, solución que adelanto opinión he de coincidir.</w:t>
      </w:r>
    </w:p>
    <w:p>
      <w:pPr>
        <w:pStyle w:val="[Normal]"/>
        <w:spacing w:line="360" w:lineRule="auto"/>
        <w:ind w:firstLine="1134"/>
        <w:jc w:val="both"/>
        <w:rPr>
          <w:lang w:val="es-AR" w:eastAsia="es-AR" w:bidi="es-AR"/>
        </w:rPr>
      </w:pPr>
      <w:r>
        <w:rPr>
          <w:lang w:val="es-AR" w:eastAsia="es-AR" w:bidi="es-AR"/>
        </w:rPr>
        <w:t xml:space="preserve">Es que analizando la prueba agregada en autos, se desprende que la misma estuvo centrada en acreditar la posición económica de las partes y la posibilidades de pago de cada una de los obligados (Contestación de oficio agregadas en PDF el 24/10/24 y 18/3/2025,  y testimoniales agregadas el 19/2/2025), pero no se demostró en el caso que se hayan modificado las circunstancias tenidas en cuentas para fijar la cuota alimentaria establecida.</w:t>
      </w:r>
    </w:p>
    <w:p>
      <w:pPr>
        <w:pStyle w:val="[Normal]"/>
        <w:spacing w:line="360" w:lineRule="auto"/>
        <w:ind w:firstLine="1134"/>
        <w:jc w:val="both"/>
        <w:rPr>
          <w:lang w:val="es-AR" w:eastAsia="es-AR" w:bidi="es-AR"/>
        </w:rPr>
      </w:pPr>
      <w:r>
        <w:rPr>
          <w:lang w:val="es-AR" w:eastAsia="es-AR" w:bidi="es-AR"/>
        </w:rPr>
        <w:t xml:space="preserve">En cuanto al primer agravio, el recurrente expone que su hija N. de 19 años, ya se encuentra facultada para el cobro de los alimentos de manera directa (art. 662 del CCCyN). La jueza consideró que tal petición no ha sido formulada por la interesada, y por otro lado la retención efectuada de manera directa y depositada en la cuenta judicial abierta a nombre de la causa, garantiza el pago en tiempo y forma de la obligación alimentaria, por tal motivo, no desoyó el pedido realizado por el incidentista, como manifiesta en su memoria, sino que la jueza no hizo lugar a tal petición.</w:t>
      </w:r>
    </w:p>
    <w:p>
      <w:pPr>
        <w:pStyle w:val="[Normal]"/>
        <w:spacing w:line="360" w:lineRule="auto"/>
        <w:ind w:firstLine="1134"/>
        <w:jc w:val="both"/>
        <w:rPr>
          <w:lang w:val="es-AR" w:eastAsia="es-AR" w:bidi="es-AR"/>
        </w:rPr>
      </w:pPr>
      <w:r>
        <w:rPr>
          <w:lang w:val="es-AR" w:eastAsia="es-AR" w:bidi="es-AR"/>
        </w:rPr>
        <w:t xml:space="preserve">El art. 662 del CCyC reconoce el derecho al progenitor conviviente de la menor, a percibir y administrar las cuotas alimentarias devengadas. "Los hijos no deben probar que luego de los 18 años necesitan alimentos hasta los 21, ya que la obligación se extiende o prorroga de pleno derecho. La carga probatoria se encuentra en cabeza de los progenitores para que cese la obligación a partir de los 18 años, en la que deberán acreditar que el/la hijo/a mayor de edad cuenta con recursos suficientes para proveerse alimentos por sí mismo/a. ((2022) J., R. G. Alimentos en favor de los hijos mayores de edad. Temas de Derecho de Familia, Sucesiones y Bioética. 343-359--Vol.; Num.: (Junio 2022).</w:t>
      </w:r>
    </w:p>
    <w:p>
      <w:pPr>
        <w:pStyle w:val="[Normal]"/>
        <w:spacing w:line="360" w:lineRule="auto"/>
        <w:ind w:firstLine="1134"/>
        <w:jc w:val="both"/>
        <w:rPr>
          <w:lang w:val="es-AR" w:eastAsia="es-AR" w:bidi="es-AR"/>
        </w:rPr>
      </w:pPr>
      <w:r>
        <w:rPr>
          <w:lang w:val="es-AR" w:eastAsia="es-AR" w:bidi="es-AR"/>
        </w:rPr>
        <w:t xml:space="preserve">En nuestro caso el recurrente no ha acompañado pruebas de la convivencia de su hija con su supuesto novio, extremo que hacía a su interés, como así tampoco que la misma cuente con recursos suficientes para proveerse de alimentos (art. 375 del CPCC). </w:t>
      </w:r>
    </w:p>
    <w:p>
      <w:pPr>
        <w:pStyle w:val="[Normal]"/>
        <w:spacing w:line="360" w:lineRule="auto"/>
        <w:ind w:firstLine="1134"/>
        <w:jc w:val="both"/>
        <w:rPr>
          <w:lang w:val="es-AR" w:eastAsia="es-AR" w:bidi="es-AR"/>
        </w:rPr>
      </w:pPr>
      <w:r>
        <w:rPr>
          <w:lang w:val="es-AR" w:eastAsia="es-AR" w:bidi="es-AR"/>
        </w:rPr>
        <w:t xml:space="preserve">En cuanto al segundo agravio, sostiene que la obligación se mantiene exclusivamente para el progenitor, sin embargo de los considerandos del fallo se desprende que la jueza partió del principio establecido en el art. 658 del CCyC y ha considerado de manera particular el aporte de la progenitora conviviente con la joven, como así también se valoró las mejores condiciones económicas del progenitor quien es jubilado de la Policía de la Provincia de Bs As. y realiza sólo un aporte por medio de la retención establecida judicialmente. En efecto, la obligación alimentaria pesa en cabeza de los dos progenitores, reconociendo de parte de la progenitora conviviente un aporte especial y del progenitor de la cuota judicial establecida (art. 658, 659, 660, 662 y ss. del CCCN). </w:t>
      </w:r>
    </w:p>
    <w:p>
      <w:pPr>
        <w:pStyle w:val="[Normal]"/>
        <w:spacing w:line="360" w:lineRule="auto"/>
        <w:ind w:firstLine="1134"/>
        <w:jc w:val="both"/>
        <w:rPr>
          <w:lang w:val="es-AR" w:eastAsia="es-AR" w:bidi="es-AR"/>
        </w:rPr>
      </w:pPr>
      <w:r>
        <w:rPr>
          <w:lang w:val="es-AR" w:eastAsia="es-AR" w:bidi="es-AR"/>
        </w:rPr>
        <w:t xml:space="preserve">El punto relativo a la alegada deficiente valoración probatoria no puede prosperar, pues parte de una premisa que ha sido desvirtuada por la prueba producida en autos. Los indicios serios de convivencia, no han sido suficientemente acreditados en autos por parte del progenitor que lo denuncia (art.375 del CPCC). </w:t>
      </w:r>
    </w:p>
    <w:p>
      <w:pPr>
        <w:pStyle w:val="[Normal]"/>
        <w:spacing w:line="360" w:lineRule="auto"/>
        <w:ind w:firstLine="1134"/>
        <w:jc w:val="both"/>
        <w:rPr>
          <w:lang w:val="es-AR" w:eastAsia="es-AR" w:bidi="es-AR"/>
        </w:rPr>
      </w:pPr>
      <w:r>
        <w:rPr>
          <w:lang w:val="es-AR" w:eastAsia="es-AR" w:bidi="es-AR"/>
        </w:rPr>
        <w:t xml:space="preserve">En cuanto al agravio vertido respecto a la imposición de las costas, esta Alzada tiene dicho que ...</w:t>
      </w:r>
      <w:r>
        <w:rPr>
          <w:i/>
          <w:lang w:val="es-AR" w:eastAsia="es-AR" w:bidi="es-AR"/>
        </w:rPr>
        <w:t xml:space="preserve">"En materia de alimentos rige el principio de que las costas deben estar a cargo del alimentante, siendo éste un modo de resguardar la incolumnidad que debe guardar la prestación debida en razón de su destino. De lo contrario se desvirtuaría la esencia de la prestación, al gravarse cuotas cuya percepción se presume como una necesidad de subsistencia. Y para apartarse de este principio, es necesario que la parte alimentada haya obrado sin razón o con una negligencia manifiesta al formular su pretensión" </w:t>
      </w:r>
      <w:r>
        <w:rPr>
          <w:lang w:val="es-AR" w:eastAsia="es-AR" w:bidi="es-AR"/>
        </w:rPr>
        <w:t xml:space="preserve">(cfr. Cam Civ. Com. Pergamino, Causa Nº 1779, RSI Nº 155/13 del 24/6/13).- Lo que no se evidencia en autos. </w:t>
      </w:r>
    </w:p>
    <w:p>
      <w:pPr>
        <w:pStyle w:val="[Normal]"/>
        <w:spacing w:line="360" w:lineRule="auto"/>
        <w:ind w:firstLine="1134"/>
        <w:jc w:val="both"/>
        <w:rPr>
          <w:lang w:val="es-AR" w:eastAsia="es-AR" w:bidi="es-AR"/>
        </w:rPr>
      </w:pPr>
      <w:r>
        <w:rPr>
          <w:lang w:val="es-AR" w:eastAsia="es-AR" w:bidi="es-AR"/>
        </w:rPr>
        <w:t xml:space="preserve">En consecuencia con todo lo hasta aquí dicho, propongo al acuerdo, confirmar la sentencia atacada en cuanto fuera materia de agravio.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actora, confirmando el decisorio de grado.-</w:t>
      </w:r>
    </w:p>
    <w:p>
      <w:pPr>
        <w:pStyle w:val="[Normal]"/>
        <w:spacing w:line="360" w:lineRule="auto"/>
        <w:ind w:firstLine="1134"/>
        <w:jc w:val="both"/>
        <w:rPr>
          <w:lang w:val="es-AR" w:eastAsia="es-AR" w:bidi="es-AR"/>
        </w:rPr>
      </w:pPr>
      <w:r>
        <w:rPr>
          <w:lang w:val="es-AR" w:eastAsia="es-AR" w:bidi="es-AR"/>
        </w:rPr>
        <w:t xml:space="preserve">Las costas al apelante perdidoso (art. 69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 base firme a tales efectos (art. 31 y 54 LHP).</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la Sra. Jueza Graciela Sacaraffia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actora, confirmando el decisorio de grado.-</w:t>
      </w:r>
    </w:p>
    <w:p>
      <w:pPr>
        <w:pStyle w:val="[Normal]"/>
        <w:spacing w:line="360" w:lineRule="auto"/>
        <w:ind w:firstLine="1134"/>
        <w:jc w:val="both"/>
        <w:rPr>
          <w:lang w:val="es-AR" w:eastAsia="es-AR" w:bidi="es-AR"/>
        </w:rPr>
      </w:pPr>
      <w:r>
        <w:rPr>
          <w:lang w:val="es-AR" w:eastAsia="es-AR" w:bidi="es-AR"/>
        </w:rPr>
        <w:t xml:space="preserve">Las costas al apelante perdidoso (art. 69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 base firme a tales efectos (arts. 31 y 54 LHP).</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r>
        <w:rPr>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 </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