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5780-25</w:t>
      </w:r>
      <w:r>
        <w:rPr>
          <w:lang w:val="es-AR" w:eastAsia="es-AR" w:bidi="es-AR"/>
        </w:rPr>
        <w:t xml:space="preserve"> caratulada </w:t>
      </w:r>
      <w:r>
        <w:rPr>
          <w:b/>
          <w:lang w:val="es-AR" w:eastAsia="es-AR" w:bidi="es-AR"/>
        </w:rPr>
        <w:t xml:space="preserve">"</w:t>
      </w:r>
      <w:r>
        <w:rPr>
          <w:b/>
          <w:color w:val="000000"/>
          <w:lang w:val="es-AR" w:eastAsia="es-AR" w:bidi="es-AR"/>
        </w:rPr>
        <w:t xml:space="preserve">DUTTO ADRIANA ANALIA  C/ SANTOS NESTOR OMAR S/ COBRO EJECUTIVO DE ALQUILERES</w:t>
      </w:r>
      <w:r>
        <w:rPr>
          <w:b/>
          <w:lang w:val="es-AR" w:eastAsia="es-AR" w:bidi="es-AR"/>
        </w:rPr>
        <w:t xml:space="preserve">"</w:t>
      </w:r>
      <w:r>
        <w:rPr>
          <w:lang w:val="es-AR" w:eastAsia="es-AR" w:bidi="es-AR"/>
        </w:rPr>
        <w:t xml:space="preserve">, Expte. </w:t>
      </w:r>
      <w:r>
        <w:rPr>
          <w:color w:val="000000"/>
          <w:lang w:val="es-AR" w:eastAsia="es-AR" w:bidi="es-AR"/>
        </w:rPr>
        <w:t xml:space="preserve">78.979</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Sr. Juez de la anterior instancia en esta causa de trance y remate mandó  llevar  adelante la ejecución hasta tanto el ejecutado</w:t>
      </w:r>
      <w:r>
        <w:rPr>
          <w:b/>
          <w:lang w:val="es-AR" w:eastAsia="es-AR" w:bidi="es-AR"/>
        </w:rPr>
        <w:t xml:space="preserve"> </w:t>
      </w:r>
      <w:r>
        <w:rPr>
          <w:color w:val="000000"/>
          <w:lang w:val="es-AR" w:eastAsia="es-AR" w:bidi="es-AR"/>
        </w:rPr>
        <w:t xml:space="preserve">Néstor Omar Santos</w:t>
      </w:r>
      <w:r>
        <w:rPr>
          <w:lang w:val="es-AR" w:eastAsia="es-AR" w:bidi="es-AR"/>
        </w:rPr>
        <w:t xml:space="preserve"> hiciera a la Sra. </w:t>
      </w:r>
      <w:r>
        <w:rPr>
          <w:color w:val="000000"/>
          <w:lang w:val="es-AR" w:eastAsia="es-AR" w:bidi="es-AR"/>
        </w:rPr>
        <w:t xml:space="preserve">Adriana Analia Dutto</w:t>
      </w:r>
      <w:r>
        <w:rPr>
          <w:lang w:val="es-AR" w:eastAsia="es-AR" w:bidi="es-AR"/>
        </w:rPr>
        <w:t xml:space="preserve"> íntegro pago del capital reclamado, de la suma de p</w:t>
      </w:r>
      <w:r>
        <w:rPr>
          <w:color w:val="000000"/>
          <w:lang w:val="es-AR" w:eastAsia="es-AR" w:bidi="es-AR"/>
        </w:rPr>
        <w:t xml:space="preserve">esos equivalentes a Seiscientos quintales (600qq) de soja, según valor de la cotización de la pizarra de Rosario</w:t>
      </w:r>
      <w:r>
        <w:rPr>
          <w:lang w:val="es-AR" w:eastAsia="es-AR" w:bidi="es-AR"/>
        </w:rPr>
        <w:t xml:space="preserve">, con más los intereses conforme la tasa pasiva -plazo fijo 30 días- del Banco de la Provincia de Buenos Aires,  desde el  día de la mora 25/01/2023 y hasta su efectivo pago. Impuso las costas al demandado y difirió la regulación de honorarios de los letrados  intervinientes  hasta  que  obre  en autos liquidación firme.</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por la parte demandada en fecha 30-6-2025, concedido en relación  el 7-7-2025, fundado el 12-7-2025. Mediante providencia del 16-7-2025 se ordenó traslado a la contraparte, quien lo contestó el  24-7-2025.</w:t>
      </w:r>
    </w:p>
    <w:p>
      <w:pPr>
        <w:pStyle w:val="[Normal]"/>
        <w:spacing w:line="360" w:lineRule="auto"/>
        <w:ind w:firstLine="1134"/>
        <w:jc w:val="both"/>
        <w:rPr>
          <w:lang w:val="es-AR" w:eastAsia="es-AR" w:bidi="es-AR"/>
        </w:rPr>
      </w:pPr>
      <w:r>
        <w:rPr>
          <w:lang w:val="es-AR" w:eastAsia="es-AR" w:bidi="es-AR"/>
        </w:rPr>
        <w:t xml:space="preserve"> Elevados los autos a esta Alzada con fecha 14-8-2025, se produce el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El recurrente al momento de fundar su recurso de apelación contra la sentencia en crisis manifiesta "...</w:t>
      </w:r>
      <w:r>
        <w:rPr>
          <w:i/>
          <w:lang w:val="es-AR" w:eastAsia="es-AR" w:bidi="es-AR"/>
        </w:rPr>
        <w:t xml:space="preserve"> vengo en debido tiempo y forma a expresar los agravios que fundamentan el recurso de apelación interpuesto en fecha 30/6/2025 contra la sentencia recaída en autos, ratificando en un todo el memorial de fecha 26/5/2025 que S.S. omitió tener presente</w:t>
      </w:r>
      <w:r>
        <w:rPr>
          <w:lang w:val="es-AR" w:eastAsia="es-AR" w:bidi="es-AR"/>
        </w:rPr>
        <w:t xml:space="preserve">..." y procede a trascribir textualmente el memorial citado.</w:t>
      </w:r>
    </w:p>
    <w:p>
      <w:pPr>
        <w:pStyle w:val="[Normal]"/>
        <w:spacing w:line="360" w:lineRule="auto"/>
        <w:ind w:firstLine="1134"/>
        <w:jc w:val="both"/>
        <w:rPr>
          <w:lang w:val="es-AR" w:eastAsia="es-AR" w:bidi="es-AR"/>
        </w:rPr>
      </w:pPr>
      <w:r>
        <w:rPr>
          <w:lang w:val="es-AR" w:eastAsia="es-AR" w:bidi="es-AR"/>
        </w:rPr>
        <w:t xml:space="preserve">Por parte la contraria al contestar el traslado conferido señala que el escrito de agravios no cumple con la carga que impone el artículo 260 del código de rito, peticionando su deserción. </w:t>
      </w:r>
    </w:p>
    <w:p>
      <w:pPr>
        <w:pStyle w:val="[Normal]"/>
        <w:spacing w:line="360" w:lineRule="auto"/>
        <w:ind w:firstLine="1134"/>
        <w:jc w:val="both"/>
        <w:rPr>
          <w:lang w:val="es-AR" w:eastAsia="es-AR" w:bidi="es-AR"/>
        </w:rPr>
      </w:pPr>
      <w:r>
        <w:rPr>
          <w:lang w:val="es-AR" w:eastAsia="es-AR" w:bidi="es-AR"/>
        </w:rPr>
        <w:t xml:space="preserve">Entrando a resolver he de señalar que voy a dar tratamiento al pedido expreso formulado en el escrito de responde por la parte actora en cuanto impugna la expresión de agravios de la demandada basándose en la inexistencia de fundamentación suficiente, conforme arts. 260 y 261 del CPCC y su doctrina.</w:t>
      </w:r>
    </w:p>
    <w:p>
      <w:pPr>
        <w:pStyle w:val="[Normal]"/>
        <w:spacing w:line="360" w:lineRule="auto"/>
        <w:ind w:firstLine="1134"/>
        <w:jc w:val="both"/>
        <w:rPr>
          <w:lang w:val="es-AR" w:eastAsia="es-AR" w:bidi="es-AR"/>
        </w:rPr>
      </w:pPr>
      <w:r>
        <w:rPr>
          <w:lang w:val="es-AR" w:eastAsia="es-AR" w:bidi="es-AR"/>
        </w:rPr>
        <w:t xml:space="preserve">Al respecto, cabe recordar que es criterio sostenido de esta Alzada que la expresión de agravios debe contener la crítica concreta y razonada de las partes del fallo que el apelante considere equivocadas (art. 260 del CPCC, cfr. DJBA 90-150), resultando insuficiente la mera disconformidad con él o la repetición de una postura ya asumida y adecuadamente tratada por el sentenciante, pues el apelante está  obligado a demostrar por qué estima falso el proceso lógico que genera la sentencia, qué premisas son equivocadas y cuáles son los fundamentos que sustentan la configuración de tal error (CAP C-1324/94, Reg.N°56 F°203, C- 117/09, RSD 64/09, causa nº 1431 RSD Reg. 142/2012, causa nº 2114 RSD Reg. 109/2014, entre otras).</w:t>
      </w:r>
    </w:p>
    <w:p>
      <w:pPr>
        <w:pStyle w:val="[Normal]"/>
        <w:spacing w:line="360" w:lineRule="auto"/>
        <w:ind w:firstLine="1134"/>
        <w:jc w:val="both"/>
        <w:rPr>
          <w:lang w:val="es-AR" w:eastAsia="es-AR" w:bidi="es-AR"/>
        </w:rPr>
      </w:pPr>
      <w:r>
        <w:rPr>
          <w:lang w:val="es-AR" w:eastAsia="es-AR" w:bidi="es-AR"/>
        </w:rPr>
        <w:t xml:space="preserve">Es que, la segunda instancia no es autónoma, ni es reconducción, es como norma, dependiente de lo actuado en la instancia inicial y es revisión de su sentencia, síntesis o conclusión, a cuyo efecto requiere el elemento nuevo: la crítica de los agravios que de la misma resulte, de tal modo que si faltaren esas argumentaciones carece el tribunal de Alzada de la materia indispensable para confrontar los argumentos del a-quo.-</w:t>
      </w:r>
    </w:p>
    <w:p>
      <w:pPr>
        <w:pStyle w:val="[Normal]"/>
        <w:spacing w:line="360" w:lineRule="auto"/>
        <w:ind w:firstLine="1134"/>
        <w:jc w:val="both"/>
        <w:rPr>
          <w:lang w:val="es-AR" w:eastAsia="es-AR" w:bidi="es-AR"/>
        </w:rPr>
      </w:pPr>
      <w:r>
        <w:rPr>
          <w:lang w:val="es-AR" w:eastAsia="es-AR" w:bidi="es-AR"/>
        </w:rPr>
        <w:t xml:space="preserve">En la especie, la demandada se ha limitado a reiterar por ante esta sede lo ya propuesto a conocimiento y tratamiento del juez de primera instancia respecto de la procedencia de la excepción de defecto legal rechazada oportunamente. </w:t>
      </w:r>
    </w:p>
    <w:p>
      <w:pPr>
        <w:pStyle w:val="[Normal]"/>
        <w:spacing w:line="360" w:lineRule="auto"/>
        <w:ind w:firstLine="1134"/>
        <w:jc w:val="both"/>
        <w:rPr>
          <w:lang w:val="es-AR" w:eastAsia="es-AR" w:bidi="es-AR"/>
        </w:rPr>
      </w:pPr>
      <w:r>
        <w:rPr>
          <w:lang w:val="es-AR" w:eastAsia="es-AR" w:bidi="es-AR"/>
        </w:rPr>
        <w:t xml:space="preserve">El quejoso al asumir esa posición insistente y repetitiva omite atacar en forma directa y específica los fundamentos de la sentencia de trance y remate recurrida. </w:t>
      </w:r>
    </w:p>
    <w:p>
      <w:pPr>
        <w:pStyle w:val="[Normal]"/>
        <w:spacing w:line="360" w:lineRule="auto"/>
        <w:ind w:firstLine="1134"/>
        <w:jc w:val="both"/>
        <w:rPr>
          <w:lang w:val="es-AR" w:eastAsia="es-AR" w:bidi="es-AR"/>
        </w:rPr>
      </w:pPr>
      <w:r>
        <w:rPr>
          <w:lang w:val="es-AR" w:eastAsia="es-AR" w:bidi="es-AR"/>
        </w:rPr>
        <w:t xml:space="preserve">Concluyo entonces que el memorial presentado electrónicamente el 12-6-2025 no alcanza a abastecer la carga procesal de alcanzar cierto nivel crítico que permita su tratamiento, mostrándose inidóneo ya que no ataca en forma concreta y frontal los verdaderos fundamentos del fallo apelado, no correspondiendo en consecuencia otorgar al disgusto manifestado del modo expuesto la suficiente relevancia jurídico-procesal que lo torne apto para abrir la competencia revisora de la Cámara (arts. 260 y 261 CPCC).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Declarar desierto el recurso de apelación deducido por la parte demandada.</w:t>
      </w:r>
    </w:p>
    <w:p>
      <w:pPr>
        <w:pStyle w:val="[Normal]"/>
        <w:spacing w:line="360" w:lineRule="auto"/>
        <w:ind w:firstLine="1134"/>
        <w:jc w:val="both"/>
        <w:rPr>
          <w:lang w:val="es-AR" w:eastAsia="es-AR" w:bidi="es-AR"/>
        </w:rPr>
      </w:pPr>
      <w:r>
        <w:rPr>
          <w:lang w:val="es-AR" w:eastAsia="es-AR" w:bidi="es-AR"/>
        </w:rPr>
        <w:t xml:space="preserve">Costas de Alzada al apelante vencido (arts. 68 y 69).-</w:t>
      </w:r>
    </w:p>
    <w:p>
      <w:pPr>
        <w:pStyle w:val="[Normal]"/>
        <w:spacing w:line="360" w:lineRule="auto"/>
        <w:ind w:firstLine="1134"/>
        <w:jc w:val="both"/>
        <w:rPr>
          <w:lang w:val="es-AR" w:eastAsia="es-AR" w:bidi="es-AR"/>
        </w:rPr>
      </w:pPr>
      <w:r>
        <w:rPr>
          <w:lang w:val="es-AR" w:eastAsia="es-AR" w:bidi="es-AR"/>
        </w:rPr>
        <w:t xml:space="preserve"> Diferir la regulación de honorarios para su oportunidad (art. 31 de la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Declarar desierto el recurso de apelación deducido por la parte demandada.</w:t>
      </w:r>
    </w:p>
    <w:p>
      <w:pPr>
        <w:pStyle w:val="[Normal]"/>
        <w:spacing w:line="360" w:lineRule="auto"/>
        <w:ind w:firstLine="1134"/>
        <w:jc w:val="both"/>
        <w:rPr>
          <w:lang w:val="es-AR" w:eastAsia="es-AR" w:bidi="es-AR"/>
        </w:rPr>
      </w:pPr>
      <w:r>
        <w:rPr>
          <w:lang w:val="es-AR" w:eastAsia="es-AR" w:bidi="es-AR"/>
        </w:rPr>
        <w:t xml:space="preserve">Costas de Alzada al apelante vencido (arts. 68 y 69).-</w:t>
      </w:r>
    </w:p>
    <w:p>
      <w:pPr>
        <w:pStyle w:val="[Normal]"/>
        <w:spacing w:line="360" w:lineRule="auto"/>
        <w:ind w:firstLine="1134"/>
        <w:jc w:val="both"/>
        <w:rPr>
          <w:lang w:val="es-AR" w:eastAsia="es-AR" w:bidi="es-AR"/>
        </w:rPr>
      </w:pPr>
      <w:r>
        <w:rPr>
          <w:lang w:val="es-AR" w:eastAsia="es-AR" w:bidi="es-AR"/>
        </w:rPr>
        <w:t xml:space="preserve"> Diferir la regulación de honorarios para su oportunidad (art. 31 de la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20303125729@NOTIFICACIONES.SCBA.GOV.AR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20222584494@NOTIFICACIONES.SCBA.GOV.AR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10:31:51 -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10:34:11 -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11:45:19 -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‰8)")è&amp;d^0"Š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240902090006686216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07/10/2025 11:45:29 hs. bajo el número RS-140-2025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