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5649-25</w:t>
      </w:r>
      <w:r>
        <w:rPr>
          <w:lang w:val="es-AR" w:eastAsia="es-AR" w:bidi="es-AR"/>
        </w:rPr>
        <w:t xml:space="preserve"> caratulada </w:t>
      </w:r>
      <w:r>
        <w:rPr>
          <w:b/>
          <w:lang w:val="es-AR" w:eastAsia="es-AR" w:bidi="es-AR"/>
        </w:rPr>
        <w:t xml:space="preserve">"</w:t>
      </w:r>
      <w:r>
        <w:rPr>
          <w:b/>
          <w:color w:val="000000"/>
          <w:lang w:val="es-AR" w:eastAsia="es-AR" w:bidi="es-AR"/>
        </w:rPr>
        <w:t xml:space="preserve">RAITI ANDRES BRAIAN C/ SCOTTI JORGE LUIS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67.001</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Andrés Brian Raiti, condenando en consecuencia a Jorge Luis Scotti y a Seguros Bernardino Rivadavia Cooperativa Ltda. a abonar la suma de cinco millones cuatrocientos treinta mil seiscientos diecisiete pesos con 77/100  ($ 5.430.617,77), con más sus intereses.  Aplicó las costas a la demandada y a la citada en garantía. Difirió la regulación de honorarios de  los  letrados intervinientes y del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en fecha 15-4-2025 quien lo funda el 9-6-2025. Habiendo el letrado de la demandada y citada en garantía evacuado el traslado conferido el 7-7-2025.-  </w:t>
      </w:r>
    </w:p>
    <w:p>
      <w:pPr>
        <w:pStyle w:val="[Normal]"/>
        <w:spacing w:line="360" w:lineRule="auto"/>
        <w:ind w:firstLine="1134"/>
        <w:jc w:val="both"/>
        <w:rPr>
          <w:lang w:val="es-AR" w:eastAsia="es-AR" w:bidi="es-AR"/>
        </w:rPr>
      </w:pPr>
      <w:r>
        <w:rPr>
          <w:lang w:val="es-AR" w:eastAsia="es-AR" w:bidi="es-AR"/>
        </w:rPr>
        <w:t xml:space="preserve">Con fecha 15-7-2025 luce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Comienza su crítica la quejosa señalando que se ha tomado un salario mínimo, vital y móvil de $ 296.832 mensual como pauta para cuantificar el rubro incapacidad parcial y permanente</w:t>
      </w:r>
      <w:r>
        <w:rPr>
          <w:b/>
          <w:lang w:val="es-AR" w:eastAsia="es-AR" w:bidi="es-AR"/>
        </w:rPr>
        <w:t xml:space="preserve"> </w:t>
      </w:r>
      <w:r>
        <w:rPr>
          <w:lang w:val="es-AR" w:eastAsia="es-AR" w:bidi="es-AR"/>
        </w:rPr>
        <w:t xml:space="preserve">cuando las declaraciones de los testigos dan cuenta de un ingreso superior, aludiendo que se encontraba trabajando en una sodería y que los testigos estimaron un ingreso mensual de $ 600.000 que no se tuvo en cuenta afectando su derecho de propiedad.- </w:t>
      </w:r>
    </w:p>
    <w:p>
      <w:pPr>
        <w:pStyle w:val="[Normal]"/>
        <w:spacing w:line="360" w:lineRule="auto"/>
        <w:ind w:firstLine="1134"/>
        <w:jc w:val="both"/>
        <w:rPr>
          <w:lang w:val="es-AR" w:eastAsia="es-AR" w:bidi="es-AR"/>
        </w:rPr>
      </w:pPr>
      <w:r>
        <w:rPr>
          <w:lang w:val="es-AR" w:eastAsia="es-AR" w:bidi="es-AR"/>
        </w:rPr>
        <w:t xml:space="preserve">Se queja de que se haya utilizado la fórmula de renta constante no perpetua al no considerar los incrementos probables como los prevé la fórmula Aciarri.-</w:t>
      </w:r>
    </w:p>
    <w:p>
      <w:pPr>
        <w:pStyle w:val="[Normal]"/>
        <w:spacing w:line="360" w:lineRule="auto"/>
        <w:ind w:firstLine="1134"/>
        <w:jc w:val="both"/>
        <w:rPr>
          <w:lang w:val="es-AR" w:eastAsia="es-AR" w:bidi="es-AR"/>
        </w:rPr>
      </w:pPr>
      <w:r>
        <w:rPr>
          <w:lang w:val="es-AR" w:eastAsia="es-AR" w:bidi="es-AR"/>
        </w:rPr>
        <w:t xml:space="preserve">Plantea que para el caso de no considerarse acreditado el ingreso, se considere el valor de la canasta básica proporcionada por el Indec como pauta de referencia.-</w:t>
      </w:r>
    </w:p>
    <w:p>
      <w:pPr>
        <w:pStyle w:val="[Normal]"/>
        <w:spacing w:line="360" w:lineRule="auto"/>
        <w:ind w:firstLine="1134"/>
        <w:jc w:val="both"/>
        <w:rPr>
          <w:lang w:val="es-AR" w:eastAsia="es-AR" w:bidi="es-AR"/>
        </w:rPr>
      </w:pPr>
      <w:r>
        <w:rPr>
          <w:lang w:val="es-AR" w:eastAsia="es-AR" w:bidi="es-AR"/>
        </w:rPr>
        <w:t xml:space="preserve">El segundo agravio lo apontoca en el importe fijado para daño moral aludiendo también a que el aquo se ha apartado del porcentaje fijado por el galeno del 13% para incapacidad total del actor, no considerando el 5% correspondiente a la cicatriz en el miembro inferior.-</w:t>
      </w:r>
    </w:p>
    <w:p>
      <w:pPr>
        <w:pStyle w:val="[Normal]"/>
        <w:spacing w:line="360" w:lineRule="auto"/>
        <w:ind w:firstLine="1134"/>
        <w:jc w:val="both"/>
        <w:rPr>
          <w:lang w:val="es-AR" w:eastAsia="es-AR" w:bidi="es-AR"/>
        </w:rPr>
      </w:pPr>
      <w:r>
        <w:rPr>
          <w:lang w:val="es-AR" w:eastAsia="es-AR" w:bidi="es-AR"/>
        </w:rPr>
        <w:t xml:space="preserve">Dice que el daño moral no comprende esa lesión cicatrizal que genera un daño estética sin afectación funcional.-</w:t>
      </w:r>
    </w:p>
    <w:p>
      <w:pPr>
        <w:pStyle w:val="[Normal]"/>
        <w:spacing w:line="360" w:lineRule="auto"/>
        <w:ind w:firstLine="1134"/>
        <w:jc w:val="both"/>
        <w:rPr>
          <w:lang w:val="es-AR" w:eastAsia="es-AR" w:bidi="es-AR"/>
        </w:rPr>
      </w:pPr>
      <w:r>
        <w:rPr>
          <w:lang w:val="es-AR" w:eastAsia="es-AR" w:bidi="es-AR"/>
        </w:rPr>
        <w:t xml:space="preserve">Por último, refiere a la omisión de aplicar la doctrina de la SCBA del fallo "Barrios", solicitando la declaración de inconstitucionalidad del art. 7 ley 23.928 y modificatorias.-</w:t>
      </w:r>
    </w:p>
    <w:p>
      <w:pPr>
        <w:pStyle w:val="[Normal]"/>
        <w:spacing w:line="360" w:lineRule="auto"/>
        <w:ind w:firstLine="1134"/>
        <w:jc w:val="both"/>
        <w:rPr>
          <w:lang w:val="es-AR" w:eastAsia="es-AR" w:bidi="es-AR"/>
        </w:rPr>
      </w:pPr>
      <w:r>
        <w:rPr>
          <w:lang w:val="es-AR" w:eastAsia="es-AR" w:bidi="es-AR"/>
        </w:rPr>
        <w:t xml:space="preserve">A su turno la contraria refuta los argumentos vertidos.-</w:t>
      </w:r>
    </w:p>
    <w:p>
      <w:pPr>
        <w:pStyle w:val="[Normal]"/>
        <w:spacing w:line="360" w:lineRule="auto"/>
        <w:ind w:firstLine="1134"/>
        <w:jc w:val="both"/>
        <w:rPr>
          <w:lang w:val="es-AR" w:eastAsia="es-AR" w:bidi="es-AR"/>
        </w:rPr>
      </w:pPr>
      <w:r>
        <w:rPr>
          <w:lang w:val="es-AR" w:eastAsia="es-AR" w:bidi="es-AR"/>
        </w:rPr>
        <w:t xml:space="preserve">En tarea de resolver, cabe señalar que los agravios expuestos por la quejosa versan exclusivamente sobre la cuantificación de los rubros incapacidad sobreviniente y daño moral y la tasa de interés aplicada puesto que la responsabilidad no ha sido puesta en crisis por ninguna de las partes, con lo cual queda firme lo decidido por el operador de grado.-</w:t>
      </w:r>
    </w:p>
    <w:p>
      <w:pPr>
        <w:pStyle w:val="[Normal]"/>
        <w:spacing w:line="360" w:lineRule="auto"/>
        <w:ind w:firstLine="1134"/>
        <w:jc w:val="both"/>
        <w:rPr>
          <w:b/>
          <w:lang w:val="es-AR" w:eastAsia="es-AR" w:bidi="es-AR"/>
        </w:rPr>
      </w:pPr>
      <w:r>
        <w:rPr>
          <w:color w:val="000000"/>
          <w:lang w:val="es-AR" w:eastAsia="es-AR" w:bidi="es-AR"/>
        </w:rPr>
        <w:t xml:space="preserve">Dicho ello, comenzaré el desarrollo de mi voto abordando el agravios relativo al rubro incapacidad parcial permanente, la utilización de una fórmula de renta constante no perpetua y del salario mínimo como pauta de ingresos.-</w:t>
      </w:r>
    </w:p>
    <w:p>
      <w:pPr>
        <w:pStyle w:val="[Normal]"/>
        <w:spacing w:line="360" w:lineRule="auto"/>
        <w:ind w:firstLine="1134"/>
        <w:jc w:val="both"/>
        <w:rPr>
          <w:color w:val="000000"/>
          <w:lang w:val="es-AR" w:eastAsia="es-AR" w:bidi="es-AR"/>
        </w:rPr>
      </w:pPr>
      <w:r>
        <w:rPr>
          <w:lang w:val="es-AR" w:eastAsia="es-AR" w:bidi="es-AR"/>
        </w:rPr>
        <w:t xml:space="preserve">En punto a la utilización de formulas actuariales esta Alzada ha negado la existencia de un monopolio metodológico de las fórmulas como método exclusivo y excluyente para determinar la extensión del resarcimiento debido a la víctima, también ha dicho que éstas pueden aportar una herramienta útil para cuantificar los daños: </w:t>
      </w:r>
      <w:r>
        <w:rPr>
          <w:i/>
          <w:lang w:val="es-AR" w:eastAsia="es-AR" w:bidi="es-AR"/>
        </w:rPr>
        <w:t xml:space="preserve">"</w:t>
      </w:r>
      <w:r>
        <w:rPr>
          <w:i/>
          <w:color w:val="000000"/>
          <w:lang w:val="es-AR" w:eastAsia="es-AR" w:bidi="es-AR"/>
        </w:rPr>
        <w:t xml:space="preserve">De modo que, aún cuando las fórmulas matemáticas puedan representar un método útil para la cuantificación del daño, de ello no se sigue que las mismas constituyan un método de inexcusable utilización para la determinación de los rubros en cuestión"</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Como argumento concomitante, puedo añadir también que la necesidad de motivar las resoluciones judiciales, amén de ser un imperativo institucional del sistema republicano de gobierno que hace a la posibilidad de control de los actos de uno de los poderes del Estado y eventualmente a la efectivización de la responsabilidad de los agentes que lo integran, es también una garantía de los justiciables en cuanto posibilita la revisión de lo resuelto en una instancia superior, mediante los recursos ordinarios o extraordinarios de que se disponga, haciendo factible al justiciable, la crítica del fallo que lo perjudica (art. 18 y 75 inc. 23 de la CN, y art. 8.2.h. de la CADDHH).-</w:t>
      </w:r>
    </w:p>
    <w:p>
      <w:pPr>
        <w:pStyle w:val="[Normal]"/>
        <w:spacing w:line="360" w:lineRule="auto"/>
        <w:ind w:firstLine="1134"/>
        <w:jc w:val="both"/>
        <w:rPr>
          <w:lang w:val="es-AR" w:eastAsia="es-AR" w:bidi="es-AR"/>
        </w:rPr>
      </w:pPr>
      <w:r>
        <w:rPr>
          <w:lang w:val="es-AR" w:eastAsia="es-AR" w:bidi="es-AR"/>
        </w:rPr>
        <w:t xml:space="preserve">Ahora bien, la circunstancia de que las fórmulas actuariales constituyan un método válido para la determinación del daño por incapacidad no las exime del control judicial de juridicidad en relación a la racionalidad de su diseño técnico, la corrección de su aplicación en el caso concreto y la razonabilidad de los resultados que arroje la misma. Como dice Aciarri, </w:t>
      </w:r>
      <w:r>
        <w:rPr>
          <w:i/>
          <w:lang w:val="es-AR" w:eastAsia="es-AR" w:bidi="es-AR"/>
        </w:rPr>
        <w:t xml:space="preserve">"Sostener que las fórmulas son un instrumento más en la decisión judicial es absolutamente correcto, en cuanto no se trata de argumentos autosuficientes. Lo relevante es acertar en su rol en la fundamentación de la sentencia. Las fórmulas son apenas expresiones que exponen un procedimiento efectuado sobre datos que no son más, ni menos, que premisas. Por eso mismo, tampoco resulta correcto utilizarlas y luego descartar su resultado por excesivo o insuficiente" </w:t>
      </w:r>
      <w:r>
        <w:rPr>
          <w:lang w:val="es-AR" w:eastAsia="es-AR" w:bidi="es-AR"/>
        </w:rPr>
        <w:t xml:space="preserve">(cf. ACCIARRI, Hugo, Aplicación de fórmulas de rentas variables para cuantificar indemnizaciones por incapacidad según el Código Civil y Comercial. Publicado en Jurisprudencia Argentina, 2016-IV, 14/12/2016, p. 1).-</w:t>
      </w:r>
    </w:p>
    <w:p>
      <w:pPr>
        <w:pStyle w:val="[Normal]"/>
        <w:spacing w:line="360" w:lineRule="auto"/>
        <w:ind w:firstLine="1134"/>
        <w:jc w:val="both"/>
        <w:rPr>
          <w:lang w:val="es-AR" w:eastAsia="es-AR" w:bidi="es-AR"/>
        </w:rPr>
      </w:pPr>
      <w:r>
        <w:rPr>
          <w:lang w:val="es-AR" w:eastAsia="es-AR" w:bidi="es-AR"/>
        </w:rPr>
        <w:t xml:space="preserve">De ello se sigue que las fórmulas matemáticas configuran una pauta objetiva de referencia dentro de un contexto de fundamentación más amplio, desde el cual pueden ser confirmadas en sus resultados, modificadas parcialmente o directamente desestimadas sobre la base de una ponderación judicial de carácter integral a la que los magistrados no deben renunciar, so riesgo de conculcar el deber de fundamentación de sus sentencias (art. 3 del Código Civil y Comercial).-</w:t>
      </w:r>
    </w:p>
    <w:p>
      <w:pPr>
        <w:pStyle w:val="[Normal]"/>
        <w:spacing w:line="360" w:lineRule="auto"/>
        <w:ind w:firstLine="1134"/>
        <w:jc w:val="both"/>
        <w:rPr>
          <w:color w:val="000000"/>
          <w:lang w:val="es-AR" w:eastAsia="es-AR" w:bidi="es-AR"/>
        </w:rPr>
      </w:pPr>
      <w:r>
        <w:rPr>
          <w:lang w:val="es-AR" w:eastAsia="es-AR" w:bidi="es-AR"/>
        </w:rPr>
        <w:t xml:space="preserve">Como este Tribunal ha dicho en la causa </w:t>
      </w:r>
      <w:r>
        <w:rPr>
          <w:i/>
          <w:lang w:val="es-AR" w:eastAsia="es-AR" w:bidi="es-AR"/>
        </w:rPr>
        <w:t xml:space="preserve">"Berón"</w:t>
      </w:r>
      <w:r>
        <w:rPr>
          <w:lang w:val="es-AR" w:eastAsia="es-AR" w:bidi="es-AR"/>
        </w:rPr>
        <w:t xml:space="preserve">, </w:t>
      </w:r>
      <w:r>
        <w:rPr>
          <w:i/>
          <w:lang w:val="es-AR" w:eastAsia="es-AR" w:bidi="es-AR"/>
        </w:rPr>
        <w:t xml:space="preserve">"</w:t>
      </w:r>
      <w:r>
        <w:rPr>
          <w:i/>
          <w:color w:val="000000"/>
          <w:lang w:val="es-AR" w:eastAsia="es-AR" w:bidi="es-AR"/>
        </w:rPr>
        <w:t xml:space="preserve">las fórmulas actuariales o baremos constituyen instrumentos que orientan a las partes y a los magistrados para esclarecer la existencia y entidad de la incapacidad laborativa genérica que una persona puede experimentar; pero sus resultados deben necesariamente ser conjugados con otros elementos que brinda la realidad del caso concreto, de persona, tiempo y lugar, para la determinación de la incapacidad específica de la víctima.  Dicho de otro modo, la fórmula no sustituye las concretas cargas probatorias que pesan sobre las partes respecto a los extremos en que se fundan sus pretensiones o defensas"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Dicho ello, en el caso concreto la fórmula aplicada por el </w:t>
      </w:r>
      <w:r>
        <w:rPr>
          <w:i/>
          <w:lang w:val="es-AR" w:eastAsia="es-AR" w:bidi="es-AR"/>
        </w:rPr>
        <w:t xml:space="preserve">a quo</w:t>
      </w:r>
      <w:r>
        <w:rPr>
          <w:lang w:val="es-AR" w:eastAsia="es-AR" w:bidi="es-AR"/>
        </w:rPr>
        <w:t xml:space="preserve"> contempló los parámetros fáctico-jurídicos previstos en el art. 1746 del CCyC para la determinación del capital constitutivo del rubro incapacidad sobreviniente: ingresos económicos del damnificado, edad que tenía al momento del hecho, grado de incapacidad, etc.- </w:t>
      </w:r>
    </w:p>
    <w:p>
      <w:pPr>
        <w:pStyle w:val="[Normal]"/>
        <w:spacing w:line="360" w:lineRule="auto"/>
        <w:ind w:firstLine="1134"/>
        <w:jc w:val="both"/>
        <w:rPr>
          <w:lang w:val="es-AR" w:eastAsia="es-AR" w:bidi="es-AR"/>
        </w:rPr>
      </w:pPr>
      <w:r>
        <w:rPr>
          <w:lang w:val="es-AR" w:eastAsia="es-AR" w:bidi="es-AR"/>
        </w:rPr>
        <w:t xml:space="preserve">Además la prudencia aconseja que a menos que haya indicativos concretos resultantes de la prueba producida en autos, de hechos admitidos por las partes o de datos específicos de público y notorio conocimiento en relación a la situación concreta del actor, lo más sensato sea no presumir -ni siquiera en términos probabilísticos- una variación ascendente del ingreso cuando no tenemos referencias seguras para tener por cierto que la misma ha sido ascendente o descendente. Así lo ha dispuesto este Tribunal en la causa N° </w:t>
      </w:r>
      <w:r>
        <w:rPr>
          <w:color w:val="000000"/>
          <w:lang w:val="es-AR" w:eastAsia="es-AR" w:bidi="es-AR"/>
        </w:rPr>
        <w:t xml:space="preserve">3667-19</w:t>
      </w:r>
      <w:r>
        <w:rPr>
          <w:lang w:val="es-AR" w:eastAsia="es-AR" w:bidi="es-AR"/>
        </w:rPr>
        <w:t xml:space="preserve">  caratulada "</w:t>
      </w:r>
      <w:r>
        <w:rPr>
          <w:color w:val="000000"/>
          <w:lang w:val="es-AR" w:eastAsia="es-AR" w:bidi="es-AR"/>
        </w:rPr>
        <w:t xml:space="preserve">Belén Julio Jesús c/ De Jesús Ernesto Antonio y Otros s/ Daños y Perj. Autom. c/Les. o Muerte (Exc. Estado)</w:t>
      </w:r>
      <w:r>
        <w:rPr>
          <w:lang w:val="es-AR" w:eastAsia="es-AR" w:bidi="es-AR"/>
        </w:rPr>
        <w:t xml:space="preserve">", 3/12/2019.-</w:t>
      </w:r>
    </w:p>
    <w:p>
      <w:pPr>
        <w:pStyle w:val="[Normal]"/>
        <w:spacing w:line="360" w:lineRule="auto"/>
        <w:ind w:firstLine="1134"/>
        <w:jc w:val="both"/>
        <w:rPr>
          <w:lang w:val="es-AR" w:eastAsia="es-AR" w:bidi="es-AR"/>
        </w:rPr>
      </w:pPr>
      <w:r>
        <w:rPr>
          <w:lang w:val="es-AR" w:eastAsia="es-AR" w:bidi="es-AR"/>
        </w:rPr>
        <w:t xml:space="preserve">Entiendo por lo tanto, que no le asiste razón al quejoso en cuanto a la pretendida improcedencia de la fórmula actuarial utilizada, apareciendo como motivado en lo sustancial el análisis del operador de primera instancia en tal sentido.- </w:t>
      </w:r>
    </w:p>
    <w:p>
      <w:pPr>
        <w:pStyle w:val="[Normal]"/>
        <w:spacing w:line="360" w:lineRule="auto"/>
        <w:ind w:firstLine="1134"/>
        <w:jc w:val="both"/>
        <w:rPr>
          <w:lang w:val="es-AR" w:eastAsia="es-AR" w:bidi="es-AR"/>
        </w:rPr>
      </w:pPr>
      <w:r>
        <w:rPr>
          <w:lang w:val="es-AR" w:eastAsia="es-AR" w:bidi="es-AR"/>
        </w:rPr>
        <w:t xml:space="preserve">En relación a la utilización </w:t>
      </w:r>
      <w:r>
        <w:rPr>
          <w:color w:val="000000"/>
          <w:lang w:val="es-AR" w:eastAsia="es-AR" w:bidi="es-AR"/>
        </w:rPr>
        <w:t xml:space="preserve">el salario mínimo, vital y móvil como pauta de ingresos, tampoco</w:t>
      </w:r>
      <w:r>
        <w:rPr>
          <w:lang w:val="es-AR" w:eastAsia="es-AR" w:bidi="es-AR"/>
        </w:rPr>
        <w:t xml:space="preserve"> voy a atender el agravio desplegado al respecto.-</w:t>
      </w:r>
    </w:p>
    <w:p>
      <w:pPr>
        <w:pStyle w:val="[Normal]"/>
        <w:spacing w:line="360" w:lineRule="auto"/>
        <w:ind w:firstLine="1134"/>
        <w:jc w:val="both"/>
        <w:rPr>
          <w:lang w:val="es-AR" w:eastAsia="es-AR" w:bidi="es-AR"/>
        </w:rPr>
      </w:pPr>
      <w:r>
        <w:rPr>
          <w:lang w:val="es-AR" w:eastAsia="es-AR" w:bidi="es-AR"/>
        </w:rPr>
        <w:t xml:space="preserve">En efecto, no consta en autos prueba documental agregada que acredite el monto recibido por el actor en el marco de su relación laboral en la sodería. Los testigos presentados tampoco logran acreditar de manera fehaciente la remuneración percibida, ya que ninguno tiene conocimiento directo de lo que Raiti cobraba. Se trata de personas vinculadas al actor por amistad (Camila Dueñas) o conocidos (Guido Giustozzi), sin relación laboral con la empresa en la que el actor habría prestado servicios, resultando insuficientes para determinar con certeza la remuneración real percibida.-</w:t>
      </w:r>
    </w:p>
    <w:p>
      <w:pPr>
        <w:pStyle w:val="[Normal]"/>
        <w:spacing w:line="360" w:lineRule="auto"/>
        <w:ind w:firstLine="1134"/>
        <w:jc w:val="both"/>
        <w:rPr>
          <w:lang w:val="es-AR" w:eastAsia="es-AR" w:bidi="es-AR"/>
        </w:rPr>
      </w:pPr>
      <w:r>
        <w:rPr>
          <w:lang w:val="es-AR" w:eastAsia="es-AR" w:bidi="es-AR"/>
        </w:rPr>
        <w:t xml:space="preserve">Esta Alzada ha dicho en reiterados precedentes en torno a que cuando se ha acreditado que la persona incapacitada tenía actividad laboral, pero no se puede establecer el monto de los ingresos -como en el caso de autos- "... </w:t>
      </w:r>
      <w:r>
        <w:rPr>
          <w:i/>
          <w:lang w:val="es-AR" w:eastAsia="es-AR" w:bidi="es-AR"/>
        </w:rPr>
        <w:t xml:space="preserve">lo más apropiado es adoptar aquí la pauta del salario mínimo, vital y móvil como lo he sostenido en otros casos traídos a revisión. Sobre este punto, la Sala II de la Cámara de Apelaciones Civil y Comercial de Mar del Plata ha sostenido que: "Cuando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 (CC0102 MP., autos "SAUBIDET, ELSA RENÉ C/ EMPRESA DE TRANSPORTE 12 DE OCTUBRE SRL Y OTRO S/ DAÑOS Y PERJUICIOS", CC0102 MP 160665 299-S S, 29/11/2016; JUBA B5025405 ).  Tal información además de ser pública y notoria, se presume conocida por todos en tanto que surge de normativa dictada al efecto por el CONSEJO NAC DEL EMPLEO PRODUCTIVIDAD Y EL SALARIO M. V. Y M, del MINISTERIO DE TRABAJO, EMPLEO Y SEGURIDAD SOCIAL, con su correspondiente publicación en el Boletín Oficial (arts. 4 y 5 Cód. C. y C.) (http://servicios.infoleg.gob.ar/infolegInternet/anexos/245000-249999/249538/norma.htm)</w:t>
      </w:r>
      <w:r>
        <w:rPr>
          <w:lang w:val="es-AR" w:eastAsia="es-AR" w:bidi="es-AR"/>
        </w:rPr>
        <w:t xml:space="preserve">." (Expte. 4490-22 - entre otros- caratulado "CANEJO, FLORENCIA C/ GABINO, ADRIAN ALEJANDRO S/ALIMENTOS", REGISTRO DE SENTENCIAS el 29/03/2022  bajo el número RS-16-2022)</w:t>
      </w:r>
      <w:r>
        <w:rPr>
          <w:b/>
          <w:lang w:val="es-AR" w:eastAsia="es-AR" w:bidi="es-AR"/>
        </w:rPr>
        <w:t xml:space="preserve"> </w:t>
      </w:r>
      <w:r>
        <w:rPr>
          <w:lang w:val="es-AR" w:eastAsia="es-AR" w:bidi="es-AR"/>
        </w:rPr>
        <w:t xml:space="preserve">(CAP N° 4603 RS-89-2022 de 25-8-2022).-</w:t>
      </w:r>
    </w:p>
    <w:p>
      <w:pPr>
        <w:pStyle w:val="[Normal]"/>
        <w:spacing w:line="360" w:lineRule="auto"/>
        <w:ind w:firstLine="1134"/>
        <w:jc w:val="both"/>
        <w:rPr>
          <w:lang w:val="es-AR" w:eastAsia="es-AR" w:bidi="es-AR"/>
        </w:rPr>
      </w:pPr>
      <w:r>
        <w:rPr>
          <w:lang w:val="es-AR" w:eastAsia="es-AR" w:bidi="es-AR"/>
        </w:rPr>
        <w:t xml:space="preserve">Respecto del importe asignado por daño moral, he de señalar que si bien este Tribunal no adscribe a la teoría de los placeres compensatorios como modo exclusivo y excluyente de determinación del daño moral, el fondo de la diatriba esbozada por el actor deviene atendible en lo que refiere a la insuficiencia del monto otorgado en concepto de daño moral.-	</w:t>
      </w:r>
    </w:p>
    <w:p>
      <w:pPr>
        <w:pStyle w:val="[Normal]"/>
        <w:spacing w:line="360" w:lineRule="auto"/>
        <w:ind w:firstLine="1134"/>
        <w:jc w:val="both"/>
        <w:rPr>
          <w:lang w:val="es-AR" w:eastAsia="es-AR" w:bidi="es-AR"/>
        </w:rPr>
      </w:pPr>
      <w:r>
        <w:rPr>
          <w:lang w:val="es-AR" w:eastAsia="es-AR" w:bidi="es-AR"/>
        </w:rPr>
        <w:t xml:space="preserve">Sobre este punto, la Cámara de Apelaciones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w:t>
      </w:r>
    </w:p>
    <w:p>
      <w:pPr>
        <w:pStyle w:val="[Normal]"/>
        <w:spacing w:line="360" w:lineRule="auto"/>
        <w:ind w:firstLine="1134"/>
        <w:jc w:val="both"/>
        <w:rPr>
          <w:lang w:val="es-AR" w:eastAsia="es-AR" w:bidi="es-AR"/>
        </w:rPr>
      </w:pPr>
      <w:r>
        <w:rPr>
          <w:lang w:val="es-AR" w:eastAsia="es-AR" w:bidi="es-AR"/>
        </w:rPr>
        <w:t xml:space="preserve">El padeciente de daño moral experimenta un estado anímico, emocional o psicológico negativo, displacentero, de malestar intenso; se trata de una vivencia experiencial, subjetiva y personal, con reducción de la energía vital o existencial que se traduce en variada sintomatología: tristeza, impotencia, desolación, desamparo, abatimiento, pesimismo, desgano, desinterés, dificultades para tomar decisiones. El sufriente, y dependiendo ello del distinto grado y afectación de su estructura psíquica y emocional,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(CCiv. y Com. Azul, Sala II, 6/5/2019, “Degenhart, Jésica Soledad c/ Cannaniz, Omar Alfredo y Otra s/ Daños y Perjuicios”, Causa N° 63.411/2018 y sus acumulados).-</w:t>
      </w:r>
    </w:p>
    <w:p>
      <w:pPr>
        <w:pStyle w:val="[Normal]"/>
        <w:spacing w:line="360" w:lineRule="auto"/>
        <w:ind w:firstLine="1134"/>
        <w:jc w:val="both"/>
        <w:rPr>
          <w:lang w:val="es-AR" w:eastAsia="es-AR" w:bidi="es-AR"/>
        </w:rPr>
      </w:pPr>
      <w:r>
        <w:rPr>
          <w:lang w:val="es-AR" w:eastAsia="es-AR" w:bidi="es-AR"/>
        </w:rPr>
        <w:t xml:space="preserve">En este sentido, advierto que de acuerdo al grado de incapacidad acreditado en autos (8%), las dolencias y complicaciones que trajo aparejado todo el proceso de recuperación en relación a las lesiones causadas, las limitaciones del actor en su vida social y laboral (permaneció 3 meses imposibilitado de realizar actividades laborales) y la repercusión estética de la lesión sufrida (5%), me conduce a elevar el importe concedido por daño moral a la suma de $ 1.300.000 (Pesos un millón trescientos mil).- </w:t>
      </w:r>
    </w:p>
    <w:p>
      <w:pPr>
        <w:pStyle w:val="[Normal]"/>
        <w:spacing w:line="360" w:lineRule="auto"/>
        <w:ind w:firstLine="1134"/>
        <w:jc w:val="both"/>
        <w:rPr>
          <w:lang w:val="es-AR" w:eastAsia="es-AR" w:bidi="es-AR"/>
        </w:rPr>
      </w:pPr>
      <w:r>
        <w:rPr>
          <w:lang w:val="es-AR" w:eastAsia="es-AR" w:bidi="es-AR"/>
        </w:rPr>
        <w:t xml:space="preserve">Por último, abordaré el agravio relativo al pedido de declaración de inconstitucionalidad de la ley 23.928 y la consecuente actualización monetaria de los rubros indemnizatorios.-</w:t>
      </w:r>
    </w:p>
    <w:p>
      <w:pPr>
        <w:pStyle w:val="[Normal]"/>
        <w:spacing w:line="360" w:lineRule="auto"/>
        <w:ind w:firstLine="1134"/>
        <w:jc w:val="both"/>
        <w:rPr>
          <w:lang w:val="es-AR" w:eastAsia="es-AR" w:bidi="es-AR"/>
        </w:rPr>
      </w:pPr>
      <w:r>
        <w:rPr>
          <w:lang w:val="es-AR" w:eastAsia="es-AR" w:bidi="es-AR"/>
        </w:rPr>
        <w:t xml:space="preserve">Debo comenzar señalando</w:t>
      </w:r>
      <w:r>
        <w:rPr>
          <w:b/>
          <w:lang w:val="es-AR" w:eastAsia="es-AR" w:bidi="es-AR"/>
        </w:rPr>
        <w:t xml:space="preserve"> </w:t>
      </w:r>
      <w:r>
        <w:rPr>
          <w:lang w:val="es-AR" w:eastAsia="es-AR" w:bidi="es-AR"/>
        </w:rPr>
        <w:t xml:space="preserve">que la actualización como género, contempla diversas especies.-</w:t>
      </w:r>
    </w:p>
    <w:p>
      <w:pPr>
        <w:pStyle w:val="[Normal]"/>
        <w:spacing w:line="360" w:lineRule="auto"/>
        <w:ind w:firstLine="1134"/>
        <w:jc w:val="both"/>
        <w:rPr>
          <w:lang w:val="es-AR" w:eastAsia="es-AR" w:bidi="es-AR"/>
        </w:rPr>
      </w:pPr>
      <w:r>
        <w:rPr>
          <w:lang w:val="es-AR" w:eastAsia="es-AR" w:bidi="es-AR"/>
        </w:rPr>
        <w:t xml:space="preserve">Una es el reajuste o actualización por índices en la que el valor nominal del capital fluctúa al son de un parámetro o índice que opera como referencia externa, modalidad actualmente prohibida por los art. 7 y 10 de la Ley 23.928 y que ha sido declarada inconstitucional en el fallo "Barrios" conforme a las especiales circunstancias que se verificasen en dicha causa.-</w:t>
      </w:r>
    </w:p>
    <w:p>
      <w:pPr>
        <w:pStyle w:val="[Normal]"/>
        <w:spacing w:line="360" w:lineRule="auto"/>
        <w:ind w:firstLine="1134"/>
        <w:jc w:val="both"/>
        <w:rPr>
          <w:lang w:val="es-AR" w:eastAsia="es-AR" w:bidi="es-AR"/>
        </w:rPr>
      </w:pPr>
      <w:r>
        <w:rPr>
          <w:lang w:val="es-AR" w:eastAsia="es-AR" w:bidi="es-AR"/>
        </w:rPr>
        <w:t xml:space="preserve">Otra es la valuación del daño a valores contemporáneos a la fecha de la sentencia (SCBA,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 </w:t>
      </w:r>
      <w:r>
        <w:rPr>
          <w:lang w:val="es-AR" w:eastAsia="es-AR" w:bidi="es-AR"/>
        </w:rPr>
        <w:t xml:space="preserve">o difiriendo la valuación del daño a un momento ulterior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En ambas, campea la noción de deuda de valor que, con el claro propósito de evitar las distorsiones que genera el nominalismo en coyunturas inflacionarias— permite concebir al objeto debido como un </w:t>
      </w:r>
      <w:r>
        <w:rPr>
          <w:i/>
          <w:lang w:val="es-AR" w:eastAsia="es-AR" w:bidi="es-AR"/>
        </w:rPr>
        <w:t xml:space="preserve">quid </w:t>
      </w:r>
      <w:r>
        <w:rPr>
          <w:lang w:val="es-AR" w:eastAsia="es-AR" w:bidi="es-AR"/>
        </w:rPr>
        <w:t xml:space="preserve">o </w:t>
      </w:r>
      <w:r>
        <w:rPr>
          <w:i/>
          <w:lang w:val="es-AR" w:eastAsia="es-AR" w:bidi="es-AR"/>
        </w:rPr>
        <w:t xml:space="preserve">valor </w:t>
      </w:r>
      <w:r>
        <w:rPr>
          <w:lang w:val="es-AR" w:eastAsia="es-AR" w:bidi="es-AR"/>
        </w:rPr>
        <w:t xml:space="preserve">a ser cuantificado en un momento posterior al nacimiento de la deuda o incluso expresarlo en una moneda sin curso legal.-</w:t>
      </w:r>
    </w:p>
    <w:p>
      <w:pPr>
        <w:pStyle w:val="[Normal]"/>
        <w:spacing w:line="360" w:lineRule="auto"/>
        <w:ind w:firstLine="1134"/>
        <w:jc w:val="both"/>
        <w:rPr>
          <w:lang w:val="es-AR" w:eastAsia="es-AR" w:bidi="es-AR"/>
        </w:rPr>
      </w:pPr>
      <w:r>
        <w:rPr>
          <w:lang w:val="es-AR" w:eastAsia="es-AR" w:bidi="es-AR"/>
        </w:rPr>
        <w:t xml:space="preserve">Finalmente, la solución tradicional ha sido procurar dicha actualización mediante el uso de una tasa de interés moratoria como mecanismo indirecto de actualización (CSJN Fallos: 347:1446, in re “</w:t>
      </w:r>
      <w:r>
        <w:rPr>
          <w:i/>
          <w:lang w:val="es-AR" w:eastAsia="es-AR" w:bidi="es-AR"/>
        </w:rPr>
        <w:t xml:space="preserve">Barrientos, Gabriela </w:t>
      </w:r>
      <w:r>
        <w:rPr>
          <w:lang w:val="es-AR" w:eastAsia="es-AR" w:bidi="es-AR"/>
        </w:rPr>
        <w:t xml:space="preserve">“, del 15/10/2024).-</w:t>
      </w:r>
    </w:p>
    <w:p>
      <w:pPr>
        <w:pStyle w:val="[Normal]"/>
        <w:spacing w:line="360" w:lineRule="auto"/>
        <w:ind w:firstLine="1134"/>
        <w:jc w:val="both"/>
        <w:rPr>
          <w:lang w:val="es-AR" w:eastAsia="es-AR" w:bidi="es-AR"/>
        </w:rPr>
      </w:pPr>
      <w:r>
        <w:rPr>
          <w:lang w:val="es-AR" w:eastAsia="es-AR" w:bidi="es-AR"/>
        </w:rPr>
        <w:t xml:space="preserve">Con lo expuesto, queda en evidencia que actualizar no necesariamente supone repotenciar o reajustar por índices, toda vez que se puede llegar al primer resultado (actualización) a través de distintas vías o métodos.-</w:t>
      </w:r>
    </w:p>
    <w:p>
      <w:pPr>
        <w:pStyle w:val="[Normal]"/>
        <w:spacing w:line="360" w:lineRule="auto"/>
        <w:ind w:firstLine="1134"/>
        <w:jc w:val="both"/>
        <w:rPr>
          <w:i/>
          <w:lang w:val="es-AR" w:eastAsia="es-AR" w:bidi="es-AR"/>
        </w:rPr>
      </w:pPr>
      <w:r>
        <w:rPr>
          <w:lang w:val="es-AR" w:eastAsia="es-AR" w:bidi="es-AR"/>
        </w:rPr>
        <w:t xml:space="preserve">La conveniencia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 (cf. cit. Cámara de Apelaciones en lo Civil y Comercial de Mar del Plata, </w:t>
      </w:r>
      <w:r>
        <w:rPr>
          <w:i/>
          <w:lang w:val="es-AR" w:eastAsia="es-AR" w:bidi="es-AR"/>
        </w:rPr>
        <w:t xml:space="preserve">“DOWNIE...").-</w:t>
      </w:r>
    </w:p>
    <w:p>
      <w:pPr>
        <w:pStyle w:val="[Normal]"/>
        <w:spacing w:line="360" w:lineRule="auto"/>
        <w:ind w:firstLine="1134"/>
        <w:jc w:val="both"/>
        <w:rPr>
          <w:i/>
          <w:lang w:val="es-AR" w:eastAsia="es-AR" w:bidi="es-AR"/>
        </w:rPr>
      </w:pPr>
      <w:r>
        <w:rPr>
          <w:lang w:val="es-AR" w:eastAsia="es-AR" w:bidi="es-AR"/>
        </w:rPr>
        <w:t xml:space="preserve">En este sentido, bien se ha dicho que:</w:t>
      </w:r>
      <w:r>
        <w:rPr>
          <w:i/>
          <w:lang w:val="es-AR" w:eastAsia="es-AR" w:bidi="es-AR"/>
        </w:rPr>
        <w:t xml:space="preserve"> "la aplicación automatizada de indexaciones no reclamadas por el titular del crédito, sin evaluar su resultado en cada caso concreto (según la evolución de las tasas e índices en los períodos implicados), constituye una práctica potencialmente problemática que incrementa un doble riesgo: (a) el primero, dictar decisiones incongruentes que afecten derechos fundamentales de los litigantes; (b) el segundo, asignarle a la jurisdicción un rol institucional que no le es propio, pues el juzgador termina por prescindir de la voluntad del titular de un derecho patrimonial disponible (quien, asesorado por un abogado de matrícula, elige libremente cómo proteger su acreencia frente a la inflación) y la reemplaza por una decisión estatal oficiosa que, paradójicamente, tiene aptitud para perjudicar o empeorar la situación de aquel a quien se intenta proteger (arts. 18 CN y 15 CPBA; mi voto en causa 170768 -"Banco de la Provincia de Buenos Aires c/ Cambre, Mauro"- sent. del 12/03/2021)"</w:t>
      </w:r>
      <w:r>
        <w:rPr>
          <w:lang w:val="es-AR" w:eastAsia="es-AR" w:bidi="es-AR"/>
        </w:rPr>
        <w:t xml:space="preserve"> (cit . Cámara de Apelaciones en lo Civil y Comercial de Mar del Plata, </w:t>
      </w:r>
      <w:r>
        <w:rPr>
          <w:i/>
          <w:lang w:val="es-AR" w:eastAsia="es-AR" w:bidi="es-AR"/>
        </w:rPr>
        <w:t xml:space="preserve">“DOWNIE...").-</w:t>
      </w:r>
    </w:p>
    <w:p>
      <w:pPr>
        <w:pStyle w:val="[Normal]"/>
        <w:spacing w:line="360" w:lineRule="auto"/>
        <w:ind w:firstLine="1134"/>
        <w:jc w:val="both"/>
        <w:rPr>
          <w:lang w:val="es-AR" w:eastAsia="es-AR" w:bidi="es-AR"/>
        </w:rPr>
      </w:pPr>
      <w:r>
        <w:rPr>
          <w:lang w:val="es-AR" w:eastAsia="es-AR" w:bidi="es-AR"/>
        </w:rPr>
        <w:t xml:space="preserve">Finalmente, debe recordarse que la declaración de inconstitucionalidad (de ineludible aplicación a los fines de actualizar vía indexación) constituye una solución extrema que debe ceder ante la posibilidad de articular otros mecanismos que permitan arribar a una respuesta jurídica no lesiva de los derechos y garantías constitucionales.-</w:t>
      </w:r>
    </w:p>
    <w:p>
      <w:pPr>
        <w:pStyle w:val="[Normal]"/>
        <w:spacing w:line="360" w:lineRule="auto"/>
        <w:ind w:firstLine="1134"/>
        <w:jc w:val="both"/>
        <w:rPr>
          <w:lang w:val="es-AR" w:eastAsia="es-AR" w:bidi="es-AR"/>
        </w:rPr>
      </w:pPr>
      <w:r>
        <w:rPr>
          <w:lang w:val="es-AR" w:eastAsia="es-AR" w:bidi="es-AR"/>
        </w:rPr>
        <w:t xml:space="preserve">En relación a ello, y vinculado a la temática en ciernes, la Corte Suprema de Justicia de la Provincia de Buenos Aires, en el caso </w:t>
      </w:r>
      <w:r>
        <w:rPr>
          <w:i/>
          <w:lang w:val="es-AR" w:eastAsia="es-AR" w:bidi="es-AR"/>
        </w:rPr>
        <w:t xml:space="preserve">"Barrios"</w:t>
      </w:r>
      <w:r>
        <w:rPr>
          <w:lang w:val="es-AR" w:eastAsia="es-AR" w:bidi="es-AR"/>
        </w:rPr>
        <w:t xml:space="preserve"> -que ya fuera citado-,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lang w:val="es-AR" w:eastAsia="es-AR" w:bidi="es-AR"/>
        </w:rPr>
      </w:pPr>
      <w:r>
        <w:rPr>
          <w:lang w:val="es-AR" w:eastAsia="es-AR" w:bidi="es-AR"/>
        </w:rPr>
        <w:t xml:space="preserve">En virtud de ello, y atento a que no se ha logrado demostrar la ineficacia y/o insuficiencia de las restantes alternativas de actualización, corresponde confirmar la modalidad dispuesta en la instancia de grado.-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incrementando la indemnización por daño moral fijándolo en la suma de $1.300.000 (Pesos un millón trescientos mil). Confirmar en todo lo demás la sentencia atacada.-</w:t>
      </w:r>
    </w:p>
    <w:p>
      <w:pPr>
        <w:pStyle w:val="[Normal]"/>
        <w:spacing w:line="360" w:lineRule="auto"/>
        <w:ind w:firstLine="1134"/>
        <w:jc w:val="both"/>
        <w:rPr>
          <w:lang w:val="es-AR" w:eastAsia="es-AR" w:bidi="es-AR"/>
        </w:rPr>
      </w:pPr>
      <w:r>
        <w:rPr>
          <w:lang w:val="es-AR" w:eastAsia="es-AR" w:bidi="es-AR"/>
        </w:rPr>
        <w:t xml:space="preserve">Imponer las costas de Alzada las que serán distribuidas en un 70% a cargo de la parte actora y el 30% a la parte demandada atento al  modo en que ha sido resuelta la cuestión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incrementando la indemnización por daño moral fijándolo en la suma de $1.300.000 (Pesos un millón trescientos mil). Confirmar en todo lo demás la sentencia atacada.-</w:t>
      </w:r>
    </w:p>
    <w:p>
      <w:pPr>
        <w:pStyle w:val="[Normal]"/>
        <w:spacing w:line="360" w:lineRule="auto"/>
        <w:ind w:firstLine="1134"/>
        <w:jc w:val="both"/>
        <w:rPr>
          <w:lang w:val="es-AR" w:eastAsia="es-AR" w:bidi="es-AR"/>
        </w:rPr>
      </w:pPr>
      <w:r>
        <w:rPr>
          <w:lang w:val="es-AR" w:eastAsia="es-AR" w:bidi="es-AR"/>
        </w:rPr>
        <w:t xml:space="preserve">Imponer las costas de Alzada las que serán distribuidas en un 70% a cargo de la parte actora y el 30% a la parte demandada atento al  modo en que ha sido resuelta la cuestión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20243296030@NOTIFICACIONES.SCBA.GOV.AR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23298328119@NOTIFICACIONES.SCBA.GOV.AR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10:32:02 -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10:34:24 -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13:15:21 -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‰7N")è&amp;aI'+Š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234602090006654107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13:15:33 hs. bajo el número RS-146-2025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