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5792-25</w:t>
      </w:r>
      <w:r>
        <w:rPr>
          <w:lang w:val="es-AR" w:eastAsia="es-AR" w:bidi="es-AR"/>
        </w:rPr>
        <w:t xml:space="preserve"> caratulada </w:t>
      </w:r>
      <w:r>
        <w:rPr>
          <w:b/>
          <w:lang w:val="es-AR" w:eastAsia="es-AR" w:bidi="es-AR"/>
        </w:rPr>
        <w:t xml:space="preserve">"</w:t>
      </w:r>
      <w:r>
        <w:rPr>
          <w:b/>
          <w:color w:val="000000"/>
          <w:lang w:val="es-AR" w:eastAsia="es-AR" w:bidi="es-AR"/>
        </w:rPr>
        <w:t xml:space="preserve">ALLO ROBERTO JAVIER C/ COLD SEED LOGISTIC Y QUALITY SA  Y OTRO/A S/ EJECUCION DE SENTENCIA</w:t>
      </w:r>
      <w:r>
        <w:rPr>
          <w:b/>
          <w:lang w:val="es-AR" w:eastAsia="es-AR" w:bidi="es-AR"/>
        </w:rPr>
        <w:t xml:space="preserve">"</w:t>
      </w:r>
      <w:r>
        <w:rPr>
          <w:lang w:val="es-AR" w:eastAsia="es-AR" w:bidi="es-AR"/>
        </w:rPr>
        <w:t xml:space="preserve">, Expte. </w:t>
      </w:r>
      <w:r>
        <w:rPr>
          <w:color w:val="000000"/>
          <w:lang w:val="es-AR" w:eastAsia="es-AR" w:bidi="es-AR"/>
        </w:rPr>
        <w:t xml:space="preserve">89.767</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presente ejecución, haciendo lugar a las excepciones de inhabilidad de titulo interpuestas por los codemandados. Impuso las costas a la actora perdidosa y difirió la regulación de los honorarios de los letrados intervinientes hasta tanto obren en autos pautas a tal efecto.</w:t>
      </w:r>
    </w:p>
    <w:p>
      <w:pPr>
        <w:pStyle w:val="[Normal]"/>
        <w:spacing w:line="360" w:lineRule="auto"/>
        <w:ind w:firstLine="1134"/>
        <w:jc w:val="both"/>
        <w:rPr>
          <w:lang w:val="es-AR" w:eastAsia="es-AR" w:bidi="es-AR"/>
        </w:rPr>
      </w:pPr>
      <w:r>
        <w:rPr>
          <w:lang w:val="es-AR" w:eastAsia="es-AR" w:bidi="es-AR"/>
        </w:rPr>
        <w:t xml:space="preserve"> Para así resolver, tuvo en cuenta las constancias de la causa principal, caratulada "Allo Roberto Javier C/ Cold Seed Logistic Y Quality S.A.  Y Otro/A S/ Daños y Perj. Incump. Contractual (Exc. Estado)" Exp. N° 4390 de esta Alzada, ya que el titulo ejecutorio del presente proceso, esto es, la sentencia dictada en aquellos autos principales no se encontraría firme y consentida debido a la interposición de sendos recursos extraordinarios por ante la Suprema Corte Provincial y siendo así debería estarse a las resultas de los mismos.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el día 11-7-2025, concedido en relación el 15-7-2025 y fundado el 6-8-2025. Con fecha 8-8-2025 se ordenó traslado a las contrapartes, siendo contestados el 11-8-2025 y el 14-8-2025 respectivamente.  Elevados los autos a esta Alzada con fecha 26-8-2025 se produce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recurrente se agravia en primer termino que el juez haya equiparado la excepción de inhabilidad de título con excepción de falsedad, pues considera que se trata de figuras jurídicas distintas. En relación a ello critica que las excepciones interpuestas por los codemandados no deberían haber sido admitidas, destacando que la defensa interpuesta por la codemandada Sancor no debió siquiera ser incorporada a estos autos por faltas graves a los requisitos del art. 505 del CPC.</w:t>
      </w:r>
    </w:p>
    <w:p>
      <w:pPr>
        <w:pStyle w:val="[Normal]"/>
        <w:spacing w:line="360" w:lineRule="auto"/>
        <w:ind w:firstLine="1134"/>
        <w:jc w:val="both"/>
        <w:rPr>
          <w:lang w:val="es-AR" w:eastAsia="es-AR" w:bidi="es-AR"/>
        </w:rPr>
      </w:pPr>
      <w:r>
        <w:rPr>
          <w:lang w:val="es-AR" w:eastAsia="es-AR" w:bidi="es-AR"/>
        </w:rPr>
        <w:t xml:space="preserve"> Asimismo se agravia que el  a quo le impuso a los recursos extraordinarios efecto suspensivo. Al respecto expresa que ello es tarea de la propia SCBA, sin perjuicio de que tal máximo Tribunal solo ha recibido los recursos sin referir nada al respecto. </w:t>
      </w:r>
    </w:p>
    <w:p>
      <w:pPr>
        <w:pStyle w:val="[Normal]"/>
        <w:spacing w:line="360" w:lineRule="auto"/>
        <w:ind w:firstLine="1134"/>
        <w:jc w:val="both"/>
        <w:rPr>
          <w:lang w:val="es-AR" w:eastAsia="es-AR" w:bidi="es-AR"/>
        </w:rPr>
      </w:pPr>
      <w:r>
        <w:rPr>
          <w:lang w:val="es-AR" w:eastAsia="es-AR" w:bidi="es-AR"/>
        </w:rPr>
        <w:t xml:space="preserve">Determina que mientras la Suprema Corte de la Provincia no conceda los recursos y ordene expresamente la suspensión no hay impedimento legal para la prosecución de la presenta causa.</w:t>
      </w:r>
    </w:p>
    <w:p>
      <w:pPr>
        <w:pStyle w:val="[Normal]"/>
        <w:spacing w:line="360" w:lineRule="auto"/>
        <w:ind w:firstLine="1134"/>
        <w:jc w:val="both"/>
        <w:rPr>
          <w:lang w:val="es-AR" w:eastAsia="es-AR" w:bidi="es-AR"/>
        </w:rPr>
      </w:pPr>
      <w:r>
        <w:rPr>
          <w:lang w:val="es-AR" w:eastAsia="es-AR" w:bidi="es-AR"/>
        </w:rPr>
        <w:t xml:space="preserve">En este sentido manifiesta que existe una laguna legislativa que podría suplirse aplicando lo normado por el 258 del CPCCN, lo que hubiese permitido la prosecución de la ejecución, y advierte que la concesión del efecto suspensivo resulta contraria a la naturaleza restrictiva y excepcional del recurso extraordinario. Solicita el levantamiento de la suspensión, la continuidad de la ejecución y la revocación de la sentencia apelada.</w:t>
      </w:r>
    </w:p>
    <w:p>
      <w:pPr>
        <w:pStyle w:val="[Normal]"/>
        <w:spacing w:line="360" w:lineRule="auto"/>
        <w:ind w:firstLine="1134"/>
        <w:jc w:val="both"/>
        <w:rPr>
          <w:lang w:val="es-AR" w:eastAsia="es-AR" w:bidi="es-AR"/>
        </w:rPr>
      </w:pPr>
      <w:r>
        <w:rPr>
          <w:lang w:val="es-AR" w:eastAsia="es-AR" w:bidi="es-AR"/>
        </w:rPr>
        <w:t xml:space="preserve"> La citada en garantía  "Sancor Cooperativa de Seguros Ltda." al contestar el traslado conferido sostiene que la expresión de agravios no constituye una crítica concreta ni autosuficiente, pues se limita a manifestar disconformidad, remitirse a escritos anteriores y confundir el alcance del recurso extraordinario y su efecto suspensivo; por ello solicita que el recurso sea declarado desierto o, en subsidio, rechazado, recordando que esta Alzada ya resolvió en igual sentido en un precedente similar.</w:t>
      </w:r>
    </w:p>
    <w:p>
      <w:pPr>
        <w:pStyle w:val="[Normal]"/>
        <w:spacing w:line="360" w:lineRule="auto"/>
        <w:ind w:firstLine="1134"/>
        <w:jc w:val="both"/>
        <w:rPr>
          <w:lang w:val="es-AR" w:eastAsia="es-AR" w:bidi="es-AR"/>
        </w:rPr>
      </w:pPr>
      <w:r>
        <w:rPr>
          <w:lang w:val="es-AR" w:eastAsia="es-AR" w:bidi="es-AR"/>
        </w:rPr>
        <w:t xml:space="preserve">Por su parte la empresa codemandada "Cold Seed Logistic Y Quality SA" también afirma a su turno que el recurso es inidóneo por no contener una crítica concreta y razonada conforme al art. 260 CPCC, sino simples disconformidades y planteos erróneos, como la aplicación supletoria del art. 258 CPCCN al procedimiento provincial; por ello pide que se lo declare desierto o, en subsidio, se lo rechace por improcedente.</w:t>
      </w:r>
    </w:p>
    <w:p>
      <w:pPr>
        <w:pStyle w:val="[Normal]"/>
        <w:spacing w:line="360" w:lineRule="auto"/>
        <w:ind w:firstLine="1134"/>
        <w:jc w:val="both"/>
        <w:rPr>
          <w:lang w:val="es-AR" w:eastAsia="es-AR" w:bidi="es-AR"/>
        </w:rPr>
      </w:pPr>
      <w:r>
        <w:rPr>
          <w:color w:val="000000"/>
          <w:lang w:val="es-AR" w:eastAsia="es-AR" w:bidi="es-AR"/>
        </w:rPr>
        <w:t xml:space="preserve">En relación a la cuestión introducida expresamente por la parte demandada en su responde relativa al incumplimiento de los recaudos establecidos por el art. 260 del CPCC</w:t>
      </w:r>
      <w:r>
        <w:rPr>
          <w:lang w:val="es-AR" w:eastAsia="es-AR" w:bidi="es-AR"/>
        </w:rPr>
        <w:t xml:space="preserve">, cabe señalar que de la lectura del memorial arrimado por el accionante se advierte una crítica concreta y razonada del fallo apelado que logra superar mínimamente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Sentado aquello, y en lo que atañe al primer agravio referido a la admisión de la excepción de inhabilidad de titulo a través de la sentencia en crisis, debo anticipar que coincido con lo resuelto con el magistrado de primera instancia en ese punto ya que el procedimiento de ejecución de sentencia constituye una especie de los procesos de ejecución regulados por el ordenamiento adjetivo bonaerense (art. 497 y cctes. del CPCCBA). </w:t>
      </w:r>
    </w:p>
    <w:p>
      <w:pPr>
        <w:pStyle w:val="[Normal]"/>
        <w:spacing w:line="360" w:lineRule="auto"/>
        <w:ind w:firstLine="1134"/>
        <w:jc w:val="both"/>
        <w:rPr>
          <w:lang w:val="es-AR" w:eastAsia="es-AR" w:bidi="es-AR"/>
        </w:rPr>
      </w:pPr>
      <w:r>
        <w:rPr>
          <w:lang w:val="es-AR" w:eastAsia="es-AR" w:bidi="es-AR"/>
        </w:rPr>
        <w:t xml:space="preserve">En el caso de marras la interposición de la cuestionada excepción de inhabilidad de titulo ha sido a los fines de denunciar la ausencia de firmeza y consentimiento de la sentencia definitiva que el quejoso pretende ejecutar en estos autos. </w:t>
      </w:r>
    </w:p>
    <w:p>
      <w:pPr>
        <w:pStyle w:val="[Normal]"/>
        <w:spacing w:line="360" w:lineRule="auto"/>
        <w:ind w:firstLine="1134"/>
        <w:jc w:val="both"/>
        <w:rPr>
          <w:lang w:val="es-AR" w:eastAsia="es-AR" w:bidi="es-AR"/>
        </w:rPr>
      </w:pPr>
      <w:r>
        <w:rPr>
          <w:lang w:val="es-AR" w:eastAsia="es-AR" w:bidi="es-AR"/>
        </w:rPr>
        <w:t xml:space="preserve">Se debe remarcar que tal defensa no se encuentra expresamente mencionada dentro de las opciones que brinda el art. 504 del CPC, ello implicaría considerar prima facie su inadmisiblidad. Pero al cuestionarse la falta de algunos de los requisitos del título ejecutorio o de las condiciones exigidas para que proceda la ejecución de sentencia, sí resultaría admisible ya que así lo ha entendido la jurisprudencia mayoritaria, asimilándola a la excepción de falsedad de la ejecutoria (art. 504 inc. 1 del CPC).</w:t>
      </w:r>
    </w:p>
    <w:p>
      <w:pPr>
        <w:pStyle w:val="[Normal]"/>
        <w:spacing w:line="360" w:lineRule="auto"/>
        <w:ind w:firstLine="1134"/>
        <w:jc w:val="both"/>
        <w:rPr>
          <w:lang w:val="es-AR" w:eastAsia="es-AR" w:bidi="es-AR"/>
        </w:rPr>
      </w:pPr>
      <w:r>
        <w:rPr>
          <w:lang w:val="es-AR" w:eastAsia="es-AR" w:bidi="es-AR"/>
        </w:rPr>
        <w:t xml:space="preserve">En este sentido nuestro cimero Tribunal ha dicho que </w:t>
      </w:r>
      <w:r>
        <w:rPr>
          <w:i/>
          <w:lang w:val="es-AR" w:eastAsia="es-AR" w:bidi="es-AR"/>
        </w:rPr>
        <w:t xml:space="preserve">"Aunque es cierto que el art. 504 del Código Procesal Civil y Comercial restringe la posibilidad de defensa a las excepciones que allí se especifican, no lo es menos que ello no significa una veda al análisis de otras vinculadas de manera directa con la justa composición del litigio y con el ejercicio del derecho de defensa en juicio. Si bien -como regla- en el proceso de ejecución de sentencia sólo se consideran legítimas las limitadas excepciones que la mencionada norma prevé, en aquellos casos en que se cuestiona la falta de algunos requisitos del título ejecutorio o de las condiciones exigidas para que proceda ese tipo de ejecución, se ha considerado admisible la inhabilidad de título al asimilarla a la excepción de falsedad ejecutoria, siendo aquélla una defensa que se encuentra implícitamente incorporada en el inc. 1° del mentado precepto"</w:t>
      </w:r>
      <w:r>
        <w:rPr>
          <w:lang w:val="es-AR" w:eastAsia="es-AR" w:bidi="es-AR"/>
        </w:rPr>
        <w:t xml:space="preserve"> (SCBA LP B 75662 bis RSI-248-21 I 09/06/2021 JUBA B4007886).</w:t>
      </w:r>
    </w:p>
    <w:p>
      <w:pPr>
        <w:pStyle w:val="[Normal]"/>
        <w:spacing w:line="360" w:lineRule="auto"/>
        <w:ind w:firstLine="1134"/>
        <w:jc w:val="both"/>
        <w:rPr>
          <w:lang w:val="es-AR" w:eastAsia="es-AR" w:bidi="es-AR"/>
        </w:rPr>
      </w:pPr>
      <w:r>
        <w:rPr>
          <w:lang w:val="es-AR" w:eastAsia="es-AR" w:bidi="es-AR"/>
        </w:rPr>
        <w:t xml:space="preserve">A mayor abundamiento se ha expresado que </w:t>
      </w:r>
      <w:r>
        <w:rPr>
          <w:i/>
          <w:lang w:val="es-AR" w:eastAsia="es-AR" w:bidi="es-AR"/>
        </w:rPr>
        <w:t xml:space="preserve">"En el marco del principio iura novit curia; los jueces califican jurídicamente los hechos o reconducen los reclamos articulados por las partes con abstracción de la denominación que les hubiesen dado, siempre que no se alteren las circunstancias de la causa ni se tergiverse el objeto de la pretensión. Desde esta óptica he de conceptualizar la defensa esgrimida por la aseguradora como un excepción de inhabilidad de título. Señalo que en el proceso de ejecución de sentencia, cuando se cuestiona la falta de algunos de los requisitos del título ejecutorio o de las condiciones exigidas para que proceda la ejecución de sentencia resulta admisible pues se la asimila a la excepción de falsedad de la ejecutoria (arts. 504 inc. 1ro., ,542 inc. 4to. del CPCC Conf. SCBA, Ac 56649 S 7-3-1995 en A y S 1995 I, 226; SCBA Ac 56604 S 10-3-1998, SCBA LP C 86870 S 16/07/2014 e.o.)"</w:t>
      </w:r>
      <w:r>
        <w:rPr>
          <w:lang w:val="es-AR" w:eastAsia="es-AR" w:bidi="es-AR"/>
        </w:rPr>
        <w:t xml:space="preserve"> (CC0003 LZ 35886 2018 19 S 22/02/2021 Juez CARAM (SD) JUBA B3751757).</w:t>
      </w:r>
    </w:p>
    <w:p>
      <w:pPr>
        <w:pStyle w:val="[Normal]"/>
        <w:spacing w:line="360" w:lineRule="auto"/>
        <w:ind w:firstLine="1134"/>
        <w:jc w:val="both"/>
        <w:rPr>
          <w:lang w:val="es-AR" w:eastAsia="es-AR" w:bidi="es-AR"/>
        </w:rPr>
      </w:pPr>
      <w:r>
        <w:rPr>
          <w:lang w:val="es-AR" w:eastAsia="es-AR" w:bidi="es-AR"/>
        </w:rPr>
        <w:t xml:space="preserve">De ahí que dicho agravio deba ser rechazado.</w:t>
      </w:r>
    </w:p>
    <w:p>
      <w:pPr>
        <w:pStyle w:val="[Normal]"/>
        <w:spacing w:line="360" w:lineRule="auto"/>
        <w:ind w:firstLine="1134"/>
        <w:jc w:val="both"/>
        <w:rPr>
          <w:lang w:val="es-AR" w:eastAsia="es-AR" w:bidi="es-AR"/>
        </w:rPr>
      </w:pPr>
      <w:r>
        <w:rPr>
          <w:lang w:val="es-AR" w:eastAsia="es-AR" w:bidi="es-AR"/>
        </w:rPr>
        <w:t xml:space="preserve"> El mismo camino adverso debe seguir la alegación de que las excepciones interpuestas por los codemandados no deberían haber sido admitidas por el juez de primer instancia ya que no ha cumplido debidamente con los requisitos impuestos por el art. 505 del CPCC.</w:t>
      </w:r>
    </w:p>
    <w:p>
      <w:pPr>
        <w:pStyle w:val="[Normal]"/>
        <w:spacing w:line="360" w:lineRule="auto"/>
        <w:ind w:firstLine="1134"/>
        <w:jc w:val="both"/>
        <w:rPr>
          <w:lang w:val="es-AR" w:eastAsia="es-AR" w:bidi="es-AR"/>
        </w:rPr>
      </w:pPr>
      <w:r>
        <w:rPr>
          <w:lang w:val="es-AR" w:eastAsia="es-AR" w:bidi="es-AR"/>
        </w:rPr>
        <w:t xml:space="preserve">Al respecto dicho articulo dispone: "</w:t>
      </w:r>
      <w:r>
        <w:rPr>
          <w:i/>
          <w:lang w:val="es-AR" w:eastAsia="es-AR" w:bidi="es-AR"/>
        </w:rPr>
        <w:t xml:space="preserve">Las excepciones deberán fundarse en hechos posteriores a la sentencia o laudo. Se probarán por las constancias del juicio o por documentos emanados del ejecutante que se acompañarán al deducirlas, con exclusión de todo otro medio probatorio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Efectuado un análisis de las constancias de autos se verifica que tanto  la codemandadas "Cool Seed SA" como "Sancor" han interpuesto en diferentes presentaciones (29-4-2025 y 29-5-2025) la misma excepción de inhabilidad de titulo, citando y fundando su defensa sobre las constancias obrantes en los autos principales (es decir la sentencia definitiva emitida por ésta Cámara en fecha 16-5-2024). Frente a ello y ante el pedido de apertura a prueba por parte de "Cool Seed" el magistrado de primera instancia consideró innecesaria abrir tal instancia procesal, ya que dicha resolución puede ser consultada directamente por el nombrado mediante el Sistema Local.</w:t>
      </w:r>
    </w:p>
    <w:p>
      <w:pPr>
        <w:pStyle w:val="[Normal]"/>
        <w:spacing w:line="360" w:lineRule="auto"/>
        <w:ind w:firstLine="1134"/>
        <w:jc w:val="both"/>
        <w:rPr>
          <w:lang w:val="es-AR" w:eastAsia="es-AR" w:bidi="es-AR"/>
        </w:rPr>
      </w:pPr>
      <w:r>
        <w:rPr>
          <w:lang w:val="es-AR" w:eastAsia="es-AR" w:bidi="es-AR"/>
        </w:rPr>
        <w:t xml:space="preserve"> En consecuencia, no resulta vulnerado lo establecido por el art. 505 in fine del CPCC, ya que encuentro abastecido el recaudo probatorio, circunstancia advertida mediante las providencias citadas en el párrafo anterior que dispusieron el carácter innecesario de su incorporación, suplido por la propia compulsa judicial. </w:t>
      </w:r>
    </w:p>
    <w:p>
      <w:pPr>
        <w:pStyle w:val="[Normal]"/>
        <w:spacing w:line="360" w:lineRule="auto"/>
        <w:ind w:firstLine="1134"/>
        <w:jc w:val="both"/>
        <w:rPr>
          <w:lang w:val="es-AR" w:eastAsia="es-AR" w:bidi="es-AR"/>
        </w:rPr>
      </w:pPr>
      <w:r>
        <w:rPr>
          <w:lang w:val="es-AR" w:eastAsia="es-AR" w:bidi="es-AR"/>
        </w:rPr>
        <w:t xml:space="preserve">El tercer agravio refiere al efecto suspensivo determinado para los recursos extraordinarios de inaplicabilidad de ley interpuestos por los codemandados en los autos principales. En este planteo, tampoco le asiste razón. </w:t>
      </w:r>
    </w:p>
    <w:p>
      <w:pPr>
        <w:pStyle w:val="[Normal]"/>
        <w:spacing w:line="360" w:lineRule="auto"/>
        <w:ind w:firstLine="1134"/>
        <w:jc w:val="both"/>
        <w:rPr>
          <w:lang w:val="es-AR" w:eastAsia="es-AR" w:bidi="es-AR"/>
        </w:rPr>
      </w:pPr>
      <w:r>
        <w:rPr>
          <w:lang w:val="es-AR" w:eastAsia="es-AR" w:bidi="es-AR"/>
        </w:rPr>
        <w:t xml:space="preserve">Debo señalar que del análisis realizado sobre las actuaciones principales se verifica que el examen de admisibilidad formal efectuado por esta Cámara ha sido cumplido conforme lo indica la normativa del código de rito (art.279 y siguientes del CPCC). Sin perjuicio de ello y si bien el Código ritual no regula expresamente el efecto con que deben ser concedidos los recursos extraordinarios, nuestro cimero Tribunal les ha conferido efecto suspensivo.</w:t>
      </w:r>
    </w:p>
    <w:p>
      <w:pPr>
        <w:pStyle w:val="[Normal]"/>
        <w:spacing w:line="360" w:lineRule="auto"/>
        <w:ind w:firstLine="1134"/>
        <w:jc w:val="both"/>
        <w:rPr>
          <w:lang w:val="es-AR" w:eastAsia="es-AR" w:bidi="es-AR"/>
        </w:rPr>
      </w:pPr>
      <w:r>
        <w:rPr>
          <w:lang w:val="es-AR" w:eastAsia="es-AR" w:bidi="es-AR"/>
        </w:rPr>
        <w:t xml:space="preserve">En referencia a ello nuestra Corte Provincial ha manifestado: "</w:t>
      </w:r>
      <w:r>
        <w:rPr>
          <w:i/>
          <w:lang w:val="es-AR" w:eastAsia="es-AR" w:bidi="es-AR"/>
        </w:rPr>
        <w:t xml:space="preserve">Cabe señalar, respecto de la cuestión vinculada al efecto con el que fue otorgado por la cámara el extraordinario de inaplicabilidad de ley, que esta Corte ha sostenido que, por regla, los recursos extraordinarios se conceden con efecto suspensivo (arg. art. 292, último párrafo, C.P.C.C.; conf. causas L. 68.486, sent. del 26-X-1999; Ac. 88.543, resol. del 17-III-2004 -por mayoría-)"</w:t>
      </w:r>
      <w:r>
        <w:rPr>
          <w:lang w:val="es-AR" w:eastAsia="es-AR" w:bidi="es-AR"/>
        </w:rPr>
        <w:t xml:space="preserve"> SCBA LP Ac 102578 I 19/12/2007. JUBA B35736.</w:t>
      </w:r>
    </w:p>
    <w:p>
      <w:pPr>
        <w:pStyle w:val="[Normal]"/>
        <w:spacing w:line="360" w:lineRule="auto"/>
        <w:ind w:firstLine="1134"/>
        <w:jc w:val="both"/>
        <w:rPr>
          <w:lang w:val="es-AR" w:eastAsia="es-AR" w:bidi="es-AR"/>
        </w:rPr>
      </w:pPr>
      <w:r>
        <w:rPr>
          <w:lang w:val="es-AR" w:eastAsia="es-AR" w:bidi="es-AR"/>
        </w:rPr>
        <w:t xml:space="preserve">En consonancia con la pauta antes expuesta por nuestro máximo Tribunal, entiendo que la prosecución del presente trámite de ejecución de sentencia se muestra improcedente, ya que el efecto suspensivo del recurso extraordinario de inaplicabilidad de ley se encuentra vinculado con el principio de la cosa juzgada. Por ende si la sentencia no se encuentra firme, carece de interés práctico proseguir con el presente proceso de ejecución de sentencia. Siguiendo con esta directriz, implicaría un inútil dispendio de actividad jurisdiccional, y hasta un predicamento en abstracto, avanzar procesalmente respecto de una resolución que, por estar sujeta a un recurso extraordinario pendiente, podría ser revocada o modificada por el Suprema Corte de Justicia de la Provincia. De manera entonces que debe confirmarse lo resuelto por el Juez de primera instancia.(Conf. CC0003 LZ 503 RSI-94-9 I 08/05/2009. JUBA B3750082).</w:t>
      </w:r>
    </w:p>
    <w:p>
      <w:pPr>
        <w:pStyle w:val="[Normal]"/>
        <w:spacing w:line="360" w:lineRule="auto"/>
        <w:ind w:firstLine="1134"/>
        <w:jc w:val="both"/>
        <w:rPr>
          <w:lang w:val="es-AR" w:eastAsia="es-AR" w:bidi="es-AR"/>
        </w:rPr>
      </w:pPr>
      <w:r>
        <w:rPr>
          <w:lang w:val="es-AR" w:eastAsia="es-AR" w:bidi="es-AR"/>
        </w:rPr>
        <w:t xml:space="preserve">Corolario de ello es que debe rechazarse la aplicación supletoria del art. 258 del CPCCN requerida por el quejoso.</w:t>
      </w:r>
    </w:p>
    <w:p>
      <w:pPr>
        <w:pStyle w:val="[Normal]"/>
        <w:spacing w:line="360" w:lineRule="auto"/>
        <w:ind w:firstLine="1134"/>
        <w:jc w:val="both"/>
        <w:rPr>
          <w:lang w:val="es-AR" w:eastAsia="es-AR" w:bidi="es-AR"/>
        </w:rPr>
      </w:pPr>
      <w:r>
        <w:rPr>
          <w:lang w:val="es-AR" w:eastAsia="es-AR" w:bidi="es-AR"/>
        </w:rPr>
        <w:t xml:space="preserve">Es que </w:t>
      </w:r>
      <w:r>
        <w:rPr>
          <w:i/>
          <w:lang w:val="es-AR" w:eastAsia="es-AR" w:bidi="es-AR"/>
        </w:rPr>
        <w:t xml:space="preserve">"El ordenamiento jurídico es un conjunto de normas coherentes que crean un universo de disposiciones reguladoras de la vida en sociedad. Si bien algunas de ellas son propias de cierto ámbito de las relaciones, no quita que por analogía, en principio, puedan emplearse para explicar otras situaciones en las cuales el sistema ha guardado silencio (art. 171, Const. Prov.)"</w:t>
      </w:r>
      <w:r>
        <w:rPr>
          <w:lang w:val="es-AR" w:eastAsia="es-AR" w:bidi="es-AR"/>
        </w:rPr>
        <w:t xml:space="preserve"> (CC0202 LP 112502 118 S 07/06/2016 Juez BERMEJO (SD) JUBA B301923). </w:t>
      </w:r>
    </w:p>
    <w:p>
      <w:pPr>
        <w:pStyle w:val="[Normal]"/>
        <w:spacing w:line="360" w:lineRule="auto"/>
        <w:ind w:firstLine="1134"/>
        <w:jc w:val="both"/>
        <w:rPr>
          <w:lang w:val="es-AR" w:eastAsia="es-AR" w:bidi="es-AR"/>
        </w:rPr>
      </w:pPr>
      <w:r>
        <w:rPr>
          <w:lang w:val="es-AR" w:eastAsia="es-AR" w:bidi="es-AR"/>
        </w:rPr>
        <w:t xml:space="preserve"> En esta tónica advierto que nuestro sistema procesal bonaerense no presenta vacío legal relativo al tema critico que nos convoca. Consecuentemente y conforme los fundamentos expuestos precedentemente nuestro Máximo Tribunal ya ha resuelto tal meollo aplicando analógicamente el principio general en materia recursiva ordinaria, esto es el efecto suspensivo como regla general, el cual únicamente puede ceder en las circunstancias expresamente establecidas por la ley.</w:t>
      </w:r>
    </w:p>
    <w:p>
      <w:pPr>
        <w:pStyle w:val="[Normal]"/>
        <w:spacing w:line="360" w:lineRule="auto"/>
        <w:ind w:firstLine="1134"/>
        <w:jc w:val="both"/>
        <w:rPr>
          <w:lang w:val="es-AR" w:eastAsia="es-AR" w:bidi="es-AR"/>
        </w:rPr>
      </w:pPr>
      <w:r>
        <w:rPr>
          <w:lang w:val="es-AR" w:eastAsia="es-AR" w:bidi="es-AR"/>
        </w:rPr>
        <w:t xml:space="preserve">Al respecto, jurisprudencialmente dicho que: "Sólo excepcionalmente la ley admite que el recurso de apelación se conceda en efecto devolutivo, de modo que, si no se verifica el supuesto contemplado de manera especial por el ordenamiento legal que rige en la materia, el recurso ha de concederse con efecto suspensivo" CC0103 MP 175672 452 I 09/11/2022.JUBA B5082977.</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y confirmar el fallo atacado.</w:t>
      </w:r>
    </w:p>
    <w:p>
      <w:pPr>
        <w:pStyle w:val="[Normal]"/>
        <w:spacing w:line="360" w:lineRule="auto"/>
        <w:ind w:firstLine="1134"/>
        <w:jc w:val="both"/>
        <w:rPr>
          <w:lang w:val="es-AR" w:eastAsia="es-AR" w:bidi="es-AR"/>
        </w:rPr>
      </w:pPr>
      <w:r>
        <w:rPr>
          <w:lang w:val="es-AR" w:eastAsia="es-AR" w:bidi="es-AR"/>
        </w:rPr>
        <w:t xml:space="preserve">2) Imponer las costas al apelante devinto (art. 68 y 69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y confirmar el fallo atacado.</w:t>
      </w:r>
    </w:p>
    <w:p>
      <w:pPr>
        <w:pStyle w:val="[Normal]"/>
        <w:spacing w:line="360" w:lineRule="auto"/>
        <w:ind w:firstLine="1134"/>
        <w:jc w:val="both"/>
        <w:rPr>
          <w:lang w:val="es-AR" w:eastAsia="es-AR" w:bidi="es-AR"/>
        </w:rPr>
      </w:pPr>
      <w:r>
        <w:rPr>
          <w:lang w:val="es-AR" w:eastAsia="es-AR" w:bidi="es-AR"/>
        </w:rPr>
        <w:t xml:space="preserve">2) Imponer las costas al apelante devinto (art. 68 y 69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20204563676@NOTIFICACIONES.SCBA.GOV.AR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20175049704@NOTIFICACIONES.SCBA.GOV.AR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20206719290@NOTIFICACIONES.SCBA.GOV.AR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11:20:27 -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11:25:00 -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11:27:54 -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‰8}")è&amp;cF=xŠ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249302090006673829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30/10/2025 11:28:12 hs. bajo el número RS-149-2025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