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lang w:val="es-AR" w:eastAsia="es-AR" w:bidi="es-AR"/>
        </w:rPr>
        <w:t xml:space="preserve">5226-24</w:t>
      </w:r>
      <w:r>
        <w:rPr>
          <w:lang w:val="es-AR" w:eastAsia="es-AR" w:bidi="es-AR"/>
        </w:rPr>
        <w:t xml:space="preserve"> caratulada </w:t>
      </w:r>
      <w:r>
        <w:rPr>
          <w:b/>
          <w:lang w:val="es-AR" w:eastAsia="es-AR" w:bidi="es-AR"/>
        </w:rPr>
        <w:t xml:space="preserve">"A. B. Y OTRO/A S/ GUARDA A PARIENTES", </w:t>
      </w:r>
      <w:r>
        <w:rPr>
          <w:lang w:val="es-AR" w:eastAsia="es-AR" w:bidi="es-AR"/>
        </w:rPr>
        <w:t xml:space="preserve">Expte. N° 36.050 del Juzgado de Familia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otorgó a la Sra. N. del V. P. la guarda judicial de sus  nietos  T. B. A. y B. J. A.,  hijos de la Sra. L. M. A., como medida de protección de derechos sin que ello importe delegación de la responsabilidad parental que recae  en cabeza de la progenitora de los menores ( art 75 inc.22, arts 3, 24 de la Convención de los Derechos del Niño). Con costas en el orden causado. Reguló los honorarios de las letradas intervinientes Dra. Laura Vignaroli y Dra. Florencia Montanari.</w:t>
      </w:r>
    </w:p>
    <w:p>
      <w:pPr>
        <w:pStyle w:val="[Normal]"/>
        <w:spacing w:line="360" w:lineRule="auto"/>
        <w:ind w:firstLine="1134"/>
        <w:jc w:val="both"/>
        <w:rPr>
          <w:lang w:val="es-AR" w:eastAsia="es-AR" w:bidi="es-AR"/>
        </w:rPr>
      </w:pPr>
      <w:r>
        <w:rPr>
          <w:lang w:val="es-AR" w:eastAsia="es-AR" w:bidi="es-AR"/>
        </w:rPr>
        <w:t xml:space="preserve">Disconforme con lo resuelto apela en primer término (el 23-5-2025) el Dr. Juan Pablo Walter  que cuestiona la omisión respecto de la regulación de sus estipendios en clara transgresión a las disposiciones establecidas por la Ley 14.967, arts. 22, 28, 29, 51 y concordantes.</w:t>
      </w:r>
    </w:p>
    <w:p>
      <w:pPr>
        <w:pStyle w:val="[Normal]"/>
        <w:spacing w:line="360" w:lineRule="auto"/>
        <w:ind w:firstLine="1134"/>
        <w:jc w:val="both"/>
        <w:rPr>
          <w:lang w:val="es-AR" w:eastAsia="es-AR" w:bidi="es-AR"/>
        </w:rPr>
      </w:pPr>
      <w:r>
        <w:rPr>
          <w:lang w:val="es-AR" w:eastAsia="es-AR" w:bidi="es-AR"/>
        </w:rPr>
        <w:t xml:space="preserve">En segundo lugar, el 25-6-2025 apela la Defensora de Pobres y Ausentes Dra. Florencia Montanari, representante de L. M. A.</w:t>
      </w:r>
    </w:p>
    <w:p>
      <w:pPr>
        <w:pStyle w:val="[Normal]"/>
        <w:spacing w:line="360" w:lineRule="auto"/>
        <w:ind w:firstLine="1134"/>
        <w:jc w:val="both"/>
        <w:rPr>
          <w:lang w:val="es-AR" w:eastAsia="es-AR" w:bidi="es-AR"/>
        </w:rPr>
      </w:pPr>
      <w:r>
        <w:rPr>
          <w:lang w:val="es-AR" w:eastAsia="es-AR" w:bidi="es-AR"/>
        </w:rPr>
        <w:t xml:space="preserve">Arribados los autos a este Organismo el 30-5-2025, se ordena a la recurrente exprese sus agravios, efectuándolo la Defensora el 23-6-2025 y corrido el traslado es contestado por el Dr. Walter el 8-7-2025 y el 15-7-2025 por la Asesora de Incapaces Dra. Gabriela Masciotta, llamándose autos para resolver el 7-8-2025,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Se duele la recurrente en cuanto el a quo otorgó la guarda judicial de sus dos hijos a su madre N. del V. P. (abuela de los niños) de manera infundada y habiendo valorado la prueba producida de manera errónea e ilógica.</w:t>
      </w:r>
    </w:p>
    <w:p>
      <w:pPr>
        <w:pStyle w:val="[Normal]"/>
        <w:spacing w:line="360" w:lineRule="auto"/>
        <w:ind w:firstLine="1134"/>
        <w:jc w:val="both"/>
        <w:rPr>
          <w:lang w:val="es-AR" w:eastAsia="es-AR" w:bidi="es-AR"/>
        </w:rPr>
      </w:pPr>
      <w:r>
        <w:rPr>
          <w:lang w:val="es-AR" w:eastAsia="es-AR" w:bidi="es-AR"/>
        </w:rPr>
        <w:t xml:space="preserve">Señala que en el quinto párrafo de los considerandos, el magistrado valoró un informe social realizado el 19/04/24 erróneamente, como si hubiera sido realizado en el año 2025, es decir se</w:t>
      </w:r>
      <w:r>
        <w:rPr>
          <w:b/>
          <w:lang w:val="es-AR" w:eastAsia="es-AR" w:bidi="es-AR"/>
        </w:rPr>
        <w:t xml:space="preserve"> </w:t>
      </w:r>
      <w:r>
        <w:rPr>
          <w:lang w:val="es-AR" w:eastAsia="es-AR" w:bidi="es-AR"/>
        </w:rPr>
        <w:t xml:space="preserve">consideró equivocadamente que la progenitora estaría viviendo con el Sr. S., siendo que del último informe actualizado realizado en Expte. 38.890 se desprende que convive con el Sr. M. desde fines del 2024 (Inf. 10/3/2025).</w:t>
      </w:r>
    </w:p>
    <w:p>
      <w:pPr>
        <w:pStyle w:val="[Normal]"/>
        <w:spacing w:line="360" w:lineRule="auto"/>
        <w:ind w:firstLine="1134"/>
        <w:jc w:val="both"/>
        <w:rPr>
          <w:lang w:val="es-AR" w:eastAsia="es-AR" w:bidi="es-AR"/>
        </w:rPr>
      </w:pPr>
      <w:r>
        <w:rPr>
          <w:lang w:val="es-AR" w:eastAsia="es-AR" w:bidi="es-AR"/>
        </w:rPr>
        <w:t xml:space="preserve">Aduce que el a quo no consideró los informes de los encuentros realizados con sus hijos agregados en el Expte. 38.890 de comunicación que fueron favorables (Cfr. informes de fechas 19/06/24 y 26/06/24). Así, tampoco se tuvo en consideración el dictamen de la Asesora en donde se resalta el derecho que le asiste a los menores de tener contacto con su progenitora y la obligación de fomentar dicho vínculo (Dictamen de la Asesora de fecha 13/3/2025 de la causa sobre comunicación). </w:t>
      </w:r>
    </w:p>
    <w:p>
      <w:pPr>
        <w:pStyle w:val="[Normal]"/>
        <w:spacing w:line="360" w:lineRule="auto"/>
        <w:ind w:firstLine="1134"/>
        <w:jc w:val="both"/>
        <w:rPr>
          <w:lang w:val="es-AR" w:eastAsia="es-AR" w:bidi="es-AR"/>
        </w:rPr>
      </w:pPr>
      <w:r>
        <w:rPr>
          <w:lang w:val="es-AR" w:eastAsia="es-AR" w:bidi="es-AR"/>
        </w:rPr>
        <w:t xml:space="preserve">Reitera que la Sra. P. de ningún modo fomentó dicho contacto, sino todo lo contrario impidió y obstaculizó el mismo con maniobras de manipulación sobre los hijos.</w:t>
      </w:r>
    </w:p>
    <w:p>
      <w:pPr>
        <w:pStyle w:val="[Normal]"/>
        <w:spacing w:line="360" w:lineRule="auto"/>
        <w:ind w:firstLine="1134"/>
        <w:jc w:val="both"/>
        <w:rPr>
          <w:lang w:val="es-AR" w:eastAsia="es-AR" w:bidi="es-AR"/>
        </w:rPr>
      </w:pPr>
      <w:r>
        <w:rPr>
          <w:lang w:val="es-AR" w:eastAsia="es-AR" w:bidi="es-AR"/>
        </w:rPr>
        <w:t xml:space="preserve">Señala que ni de las constancias de ambos expedientes ni de la sentencia atacada surgen las circunstancias que tornan inhábil ejercer el rol materno dado que la convivencia con S. cesó a fines de 2024.</w:t>
      </w:r>
    </w:p>
    <w:p>
      <w:pPr>
        <w:pStyle w:val="[Normal]"/>
        <w:spacing w:line="360" w:lineRule="auto"/>
        <w:ind w:firstLine="1134"/>
        <w:jc w:val="both"/>
        <w:rPr>
          <w:lang w:val="es-AR" w:eastAsia="es-AR" w:bidi="es-AR"/>
        </w:rPr>
      </w:pPr>
      <w:r>
        <w:rPr>
          <w:lang w:val="es-AR" w:eastAsia="es-AR" w:bidi="es-AR"/>
        </w:rPr>
        <w:t xml:space="preserve">Aduna que le agravia la errónea valoración de los hechos, las circunstancias y el derecho, y la carencia de fundamentos de la sentencia apelada, por lo que solicita se revoque la misma.  </w:t>
      </w:r>
    </w:p>
    <w:p>
      <w:pPr>
        <w:pStyle w:val="[Normal]"/>
        <w:spacing w:line="360" w:lineRule="auto"/>
        <w:ind w:firstLine="1134"/>
        <w:jc w:val="both"/>
        <w:rPr>
          <w:lang w:val="es-AR" w:eastAsia="es-AR" w:bidi="es-AR"/>
        </w:rPr>
      </w:pPr>
      <w:r>
        <w:rPr>
          <w:lang w:val="es-AR" w:eastAsia="es-AR" w:bidi="es-AR"/>
        </w:rPr>
        <w:t xml:space="preserve">En su conteste N. del V. P., abuela de los menores, a quien se le otorgó la guarda de los mismos solicita el rechazo in limine de los agravios, con expresa imposición de costas.</w:t>
      </w:r>
    </w:p>
    <w:p>
      <w:pPr>
        <w:pStyle w:val="[Normal]"/>
        <w:spacing w:line="360" w:lineRule="auto"/>
        <w:ind w:firstLine="1134"/>
        <w:jc w:val="both"/>
        <w:rPr>
          <w:lang w:val="es-AR" w:eastAsia="es-AR" w:bidi="es-AR"/>
        </w:rPr>
      </w:pPr>
      <w:r>
        <w:rPr>
          <w:lang w:val="es-AR" w:eastAsia="es-AR" w:bidi="es-AR"/>
        </w:rPr>
        <w:t xml:space="preserve">Corrida la vista a la Sra. Asesora de Incapaces, la misma es contestada el 15/7/2025.</w:t>
      </w:r>
    </w:p>
    <w:p>
      <w:pPr>
        <w:pStyle w:val="[Normal]"/>
        <w:spacing w:line="360" w:lineRule="auto"/>
        <w:ind w:firstLine="1134"/>
        <w:jc w:val="both"/>
        <w:rPr>
          <w:lang w:val="es-AR" w:eastAsia="es-AR" w:bidi="es-AR"/>
        </w:rPr>
      </w:pPr>
      <w:r>
        <w:rPr>
          <w:lang w:val="es-AR" w:eastAsia="es-AR" w:bidi="es-AR"/>
        </w:rPr>
        <w:t xml:space="preserve">Para dar orden a los ataques formulados a la sentencia dictada en primera instancia, trataré en primer término la apelación de la demandada. </w:t>
      </w:r>
    </w:p>
    <w:p>
      <w:pPr>
        <w:pStyle w:val="[Normal]"/>
        <w:spacing w:line="360" w:lineRule="auto"/>
        <w:ind w:firstLine="1134"/>
        <w:jc w:val="both"/>
        <w:rPr>
          <w:lang w:val="es-AR" w:eastAsia="es-AR" w:bidi="es-AR"/>
        </w:rPr>
      </w:pPr>
      <w:r>
        <w:rPr>
          <w:lang w:val="es-AR" w:eastAsia="es-AR" w:bidi="es-AR"/>
        </w:rPr>
        <w:t xml:space="preserve">a.- La cuestión medular atacada por la progenitora de los niños, es en cuanto a la apreciación que realizó el a quo de la prueba producida en autos, la cual tacha de errónea y equivocada,</w:t>
      </w:r>
      <w:r>
        <w:rPr>
          <w:b/>
          <w:lang w:val="es-AR" w:eastAsia="es-AR" w:bidi="es-AR"/>
        </w:rPr>
        <w:t xml:space="preserve"> </w:t>
      </w:r>
      <w:r>
        <w:rPr>
          <w:lang w:val="es-AR" w:eastAsia="es-AR" w:bidi="es-AR"/>
        </w:rPr>
        <w:t xml:space="preserve">generando a su decir una resolución injusta e infundada, extremo que a mi criterio no resulta suficiente en el caso para revocar la solución dada por el operador de origen.</w:t>
      </w:r>
    </w:p>
    <w:p>
      <w:pPr>
        <w:pStyle w:val="[Normal]"/>
        <w:spacing w:line="360" w:lineRule="auto"/>
        <w:ind w:firstLine="1134"/>
        <w:jc w:val="both"/>
        <w:rPr>
          <w:lang w:val="es-AR" w:eastAsia="es-AR" w:bidi="es-AR"/>
        </w:rPr>
      </w:pPr>
      <w:r>
        <w:rPr>
          <w:lang w:val="es-AR" w:eastAsia="es-AR" w:bidi="es-AR"/>
        </w:rPr>
        <w:t xml:space="preserve">En efecto, en primer lugar he de señalarse que, como ha sido expuesto en la causa C. 92.267 de la Suprema Corte de Justicia de esta Provincia, en el voto del doctor Pettigiani, "... el punto de partida es la remanida pero no superada fórmula del "interés superior del menor", verdadera regla de oro a la que no resulta posible sustraerse, por mandato constitucional y por respeto a los principios más elementales del derecho minoril. En su más prístina enunciación, este verdadero postulado quedó expresado en los siguientes términos: "en todas las medidas concernientes a los niños que tomen las instituciones públicas o privadas de bienestar social, los tribunales, las autoridades administrativas o los órganos legislativos, una condición primordial a la que se tenderá será al interés del niño (art. 3 párrafo 1°, Convención sobre los Derechos del Niño). Una definición aproximada caracteriza al interés del menor como el conjunto de bienes necesarios para el desarrollo integral y la protección de la persona y los bienes de un menor dado, y entre ellos el que más conviene en una circunstancia histórica determinada, analizado en concreto ya que no se concibe un interés del menor puramente abstracto. Al respecto, hemos sostenido que el interés superior del menor excluye toda consideración dogmática para atender a las circunstancias particulares que presenta cada caso (SCBA Ac. 63.120, sent. del 31-III-1998). Máxime cuando en materia de menores todo está signado por la provisoriedad: lo que hoy resulta conveniente mañana puede ya no serlo, y a la inversa, lo que hoy aparece como inoportuno puede en el futuro transformarse en algo pertinente".</w:t>
      </w:r>
    </w:p>
    <w:p>
      <w:pPr>
        <w:pStyle w:val="[Normal]"/>
        <w:spacing w:line="360" w:lineRule="auto"/>
        <w:ind w:firstLine="1134"/>
        <w:jc w:val="both"/>
        <w:rPr>
          <w:lang w:val="es-AR" w:eastAsia="es-AR" w:bidi="es-AR"/>
        </w:rPr>
      </w:pPr>
      <w:r>
        <w:rPr>
          <w:lang w:val="es-AR" w:eastAsia="es-AR" w:bidi="es-AR"/>
        </w:rPr>
        <w:t xml:space="preserve">A lo que respecta agregar que las cuestiones relativas a la guarda o tenencia de los hijos menores es sin duda una medida que no sólo concierne a los padres o guardadores, sino que fundamental y esencialmente interesa a los niños involucrados, cuyo interés superior debe en consecuencia ser evaluado y satisfecho en todos los casos.</w:t>
      </w:r>
    </w:p>
    <w:p>
      <w:pPr>
        <w:pStyle w:val="[Normal]"/>
        <w:spacing w:line="360" w:lineRule="auto"/>
        <w:ind w:firstLine="1134"/>
        <w:jc w:val="both"/>
        <w:rPr>
          <w:lang w:val="es-AR" w:eastAsia="es-AR" w:bidi="es-AR"/>
        </w:rPr>
      </w:pPr>
      <w:r>
        <w:rPr>
          <w:lang w:val="es-AR" w:eastAsia="es-AR" w:bidi="es-AR"/>
        </w:rPr>
        <w:t xml:space="preserve">"No se trata de decidir una mera adjudicación de derechos sobre un objeto inanimado o sobre un bien abstracto, cuya substancia permanecerá insensible o inalterada frente al paso del tiempo, sino sobre el destino de una persona de carne y hueso, que vive, piensa, tiene sentimientos, experimenta emociones, ríe, llora y va forjando día a día su identidad y la personalidad con la cual afrontará el resto de su existencia" (SCBA, Voto del Dr. Pettigiani, Ac. 78.446, sent. del 27-I-2001). </w:t>
      </w:r>
    </w:p>
    <w:p>
      <w:pPr>
        <w:pStyle w:val="[Normal]"/>
        <w:spacing w:line="360" w:lineRule="auto"/>
        <w:ind w:firstLine="1134"/>
        <w:jc w:val="both"/>
        <w:rPr>
          <w:lang w:val="es-AR" w:eastAsia="es-AR" w:bidi="es-AR"/>
        </w:rPr>
      </w:pPr>
      <w:r>
        <w:rPr>
          <w:lang w:val="es-AR" w:eastAsia="es-AR" w:bidi="es-AR"/>
        </w:rPr>
        <w:t xml:space="preserve">Sobre esta base y a la luz de las críticas plasmadas en la memoria he analizado la sentencia atacada, concluyendo que el embate planteado luce insuficiente para rebatir la base argumental del fallo, en tanto deja en pie elementos esenciales del mismo, que abastecen la conclusión a que ha arribado el a quo.</w:t>
      </w:r>
    </w:p>
    <w:p>
      <w:pPr>
        <w:pStyle w:val="[Normal]"/>
        <w:spacing w:line="360" w:lineRule="auto"/>
        <w:ind w:firstLine="1134"/>
        <w:jc w:val="both"/>
        <w:rPr>
          <w:lang w:val="es-AR" w:eastAsia="es-AR" w:bidi="es-AR"/>
        </w:rPr>
      </w:pPr>
      <w:r>
        <w:rPr>
          <w:lang w:val="es-AR" w:eastAsia="es-AR" w:bidi="es-AR"/>
        </w:rPr>
        <w:t xml:space="preserve">Determinar la guarda en favor de la abuela, es sin dudas una manera de mantener el status quo que tienen los niños desde su nacimiento, pues le brinda estabilidad, viviendo en un contexto familiar (con su tía y su abuelo), continuando con sus rutinas, asistiendo a la escuela y realizando sus actividades y terapias como lo vienen realizando hasta ahora. No debo dejar de resaltar que con la sentencia, no se privó a la progenitora de su responsabilidad parental (art. 75 inc. 22, art. 3, 24 de la Convención de Derechos del Niño).</w:t>
      </w:r>
    </w:p>
    <w:p>
      <w:pPr>
        <w:pStyle w:val="[Normal]"/>
        <w:spacing w:line="360" w:lineRule="auto"/>
        <w:ind w:firstLine="1134"/>
        <w:jc w:val="both"/>
        <w:rPr>
          <w:lang w:val="es-AR" w:eastAsia="es-AR" w:bidi="es-AR"/>
        </w:rPr>
      </w:pPr>
      <w:r>
        <w:rPr>
          <w:lang w:val="es-AR" w:eastAsia="es-AR" w:bidi="es-AR"/>
        </w:rPr>
        <w:t xml:space="preserve">La recurrente se agravia de la errónea interpretación que hizo el a quo sobre el informe social agregado el 19/4/2024, donde se hizo mención de que la progenitora estaría nuevamente conviviendo con el Sr. S., y si bien tal cuestión ha sido mencionado en la sentencia, también allí se valoró lo manifestado por la progenitora en su presentación del 27/8/2024, en donde puso en conocimiento que se había mudado a la zona rural de Sunchales, Pcia de Santa fe, junto a su hermana y su familia. </w:t>
      </w:r>
    </w:p>
    <w:p>
      <w:pPr>
        <w:pStyle w:val="[Normal]"/>
        <w:spacing w:line="360" w:lineRule="auto"/>
        <w:ind w:firstLine="1134"/>
        <w:jc w:val="both"/>
        <w:rPr>
          <w:lang w:val="es-AR" w:eastAsia="es-AR" w:bidi="es-AR"/>
        </w:rPr>
      </w:pPr>
      <w:r>
        <w:rPr>
          <w:lang w:val="es-AR" w:eastAsia="es-AR" w:bidi="es-AR"/>
        </w:rPr>
        <w:t xml:space="preserve">La resolución propiciada por el a quo tuvo en consideración toda la prueba producida, la cual le formó una sana crítica en cuanto que la progenitora no se encuentra asentada de manera estable para hacerse cargo de sus hijos. En efecto, quedó suficientemente acreditado que no tiene una vivienda, un trabajo, un compañero estable, circunstancias que hacen a un ambiente familiar propicio para resguardar a los menores, extremo que si se ven garantizados con la accionante.</w:t>
      </w:r>
    </w:p>
    <w:p>
      <w:pPr>
        <w:pStyle w:val="[Normal]"/>
        <w:spacing w:line="360" w:lineRule="auto"/>
        <w:ind w:firstLine="1134"/>
        <w:jc w:val="both"/>
        <w:rPr>
          <w:lang w:val="es-AR" w:eastAsia="es-AR" w:bidi="es-AR"/>
        </w:rPr>
      </w:pPr>
      <w:r>
        <w:rPr>
          <w:lang w:val="es-AR" w:eastAsia="es-AR" w:bidi="es-AR"/>
        </w:rPr>
        <w:t xml:space="preserve">Del informe realizado por el perito psicólogo Mariano Aguirre y por la perito médica psiquiatra Ana L. Serafini, luego de la entrevista realizada el día 3/11/23 a la Sra. P., en sus conclusiones señalaron que: "...es quien al presente se ocupa de los cuidados y la crianza de sus nietos T. y B.  bregando por su bienestar y desarrollo integral. En los hechos ha asumido la función de guardadora respecto de sus nietos, y a través de autos busca dar un marco legal a ello. Estos peritos consideran que la entrevistada cuenta con las capacidades psíquicas que le permiten asumir el rol de guardadora respecto de sus nietos., y ejercer aquellas funciones inherentes al mismo." (Informe agregado en fecha 3/11/2023).</w:t>
      </w:r>
    </w:p>
    <w:p>
      <w:pPr>
        <w:pStyle w:val="[Normal]"/>
        <w:spacing w:line="360" w:lineRule="auto"/>
        <w:ind w:firstLine="1134"/>
        <w:jc w:val="both"/>
        <w:rPr>
          <w:lang w:val="es-AR" w:eastAsia="es-AR" w:bidi="es-AR"/>
        </w:rPr>
      </w:pPr>
      <w:r>
        <w:rPr>
          <w:lang w:val="es-AR" w:eastAsia="es-AR" w:bidi="es-AR"/>
        </w:rPr>
        <w:t xml:space="preserve">Las testimoniales son contestes en cuanto a que es la Sra. P. quien se ocupa del cuidado de los niños y que la progenitora poco ve a sus hijos. (Actas de audiencia de fecha 2/11/2023).</w:t>
      </w:r>
    </w:p>
    <w:p>
      <w:pPr>
        <w:pStyle w:val="[Normal]"/>
        <w:spacing w:line="360" w:lineRule="auto"/>
        <w:ind w:firstLine="1134"/>
        <w:jc w:val="both"/>
        <w:rPr>
          <w:lang w:val="es-AR" w:eastAsia="es-AR" w:bidi="es-AR"/>
        </w:rPr>
      </w:pPr>
      <w:r>
        <w:rPr>
          <w:lang w:val="es-AR" w:eastAsia="es-AR" w:bidi="es-AR"/>
        </w:rPr>
        <w:t xml:space="preserve">También se ha acreditado en autos, que la abuela se ocupa de que los niños reciban asistencia médica, psicológica y nutricional, llevándolos al CAP del Barrio Otero y teniendo el calendario de vacunación y los controles de salud al día (Inf. de fecha 28/2/2025).</w:t>
      </w:r>
    </w:p>
    <w:p>
      <w:pPr>
        <w:pStyle w:val="[Normal]"/>
        <w:spacing w:line="360" w:lineRule="auto"/>
        <w:ind w:firstLine="1134"/>
        <w:jc w:val="both"/>
        <w:rPr>
          <w:lang w:val="es-AR" w:eastAsia="es-AR" w:bidi="es-AR"/>
        </w:rPr>
      </w:pPr>
      <w:r>
        <w:rPr>
          <w:lang w:val="es-AR" w:eastAsia="es-AR" w:bidi="es-AR"/>
        </w:rPr>
        <w:t xml:space="preserve">Que de la última audiencia de escucha de los menores, principales protagonistas del caso, se vislumbra manifestaciones que resultan claras y contundentes en cuanto a la voluntad de mantener la convivencia con sus abuelos, circunstancia que si bien no resulta ser determinante, debe ser valorada pues son intereses manifestados por los propios niños de acorde a sus edades y grado de madurez, no advirtiéndose motivo alguno que amerite no tenerlas en cuenta (art. 3 y 24 ley 26.061; art. 12 CIDÑ).-</w:t>
      </w:r>
    </w:p>
    <w:p>
      <w:pPr>
        <w:pStyle w:val="[Normal]"/>
        <w:spacing w:line="360" w:lineRule="auto"/>
        <w:ind w:firstLine="1134"/>
        <w:jc w:val="both"/>
        <w:rPr>
          <w:lang w:val="es-AR" w:eastAsia="es-AR" w:bidi="es-AR"/>
        </w:rPr>
      </w:pPr>
      <w:r>
        <w:rPr>
          <w:lang w:val="es-AR" w:eastAsia="es-AR" w:bidi="es-AR"/>
        </w:rPr>
        <w:t xml:space="preserve">Por otro lado, no ha sido demostrado por parte de la demandada, ni se observa en el caso graves perjuicios o poderosas razones que justifiquen modificar las condiciones en las que viven ambos niños, existiendo en favor de la progenitora un régimen judicial de comunicación que le permite mantener el contacto con su descendencia.-</w:t>
      </w:r>
    </w:p>
    <w:p>
      <w:pPr>
        <w:pStyle w:val="[Normal]"/>
        <w:spacing w:line="360" w:lineRule="auto"/>
        <w:ind w:firstLine="1134"/>
        <w:jc w:val="both"/>
        <w:rPr>
          <w:lang w:val="es-AR" w:eastAsia="es-AR" w:bidi="es-AR"/>
        </w:rPr>
      </w:pPr>
      <w:r>
        <w:rPr>
          <w:lang w:val="es-AR" w:eastAsia="es-AR" w:bidi="es-AR"/>
        </w:rPr>
        <w:t xml:space="preserve">La recurrente en varios segmentos de su memoria cita actos procesales cumplidos en la causa N° 38.890, y allí se dictó una resolución en mayo de este año (28/5/2025), en la que se estableció un régimen de comunicación provisorio, el cual se encuentra vigente. Si bien existe un pedido realizado por la progenitora de ampliar el régimen de comunicación establecido (P.E.12/8/2025), el mismo se encuentra pendiente de resolución (cfr. constancias electrónicas de la MEV en la causa N°38.890). Incluso he de agregar que la progenitora allí, hizo saber que se encontraba nuevamente viviendo en esta ciudad (13/2/2025), lo que me llevan a adunar la convicción de que la Sra. A. se encuentra en continuo cambio de domicilio, sin poder darle a los niños un entorno familiar seguro, afectuoso y estable, necesarios para lograr una estabilidad emocional y un hogar a los menores.</w:t>
      </w:r>
    </w:p>
    <w:p>
      <w:pPr>
        <w:pStyle w:val="[Normal]"/>
        <w:spacing w:line="360" w:lineRule="auto"/>
        <w:ind w:firstLine="1134"/>
        <w:jc w:val="both"/>
        <w:rPr>
          <w:lang w:val="es-AR" w:eastAsia="es-AR" w:bidi="es-AR"/>
        </w:rPr>
      </w:pPr>
      <w:r>
        <w:rPr>
          <w:lang w:val="es-AR" w:eastAsia="es-AR" w:bidi="es-AR"/>
        </w:rPr>
        <w:t xml:space="preserve">Otro rasgo que ha quedado plasmado en autos es que la progenitora ha cambiado en varias oportunidades de domicilio en los últimos dos años, mientras que por el otro lado, la abuela ha garantizando estabilidad manteniendo en un mismo domicilio el centro de vida de los menores.</w:t>
      </w:r>
    </w:p>
    <w:p>
      <w:pPr>
        <w:pStyle w:val="[Normal]"/>
        <w:spacing w:line="360" w:lineRule="auto"/>
        <w:ind w:firstLine="1134"/>
        <w:jc w:val="both"/>
        <w:rPr>
          <w:lang w:val="es-AR" w:eastAsia="es-AR" w:bidi="es-AR"/>
        </w:rPr>
      </w:pPr>
      <w:r>
        <w:rPr>
          <w:lang w:val="es-AR" w:eastAsia="es-AR" w:bidi="es-AR"/>
        </w:rPr>
        <w:t xml:space="preserve">La demandada no ha producido ninguna prueba que acredite las maniobras obstruccionistas y autoritarias que endilga a la accionante ni se ha probado causal alguna que justifique la oposición de la guarda en favor de la Sra. Perez, extremo que hacía a su propio interés (art. 375 del CPCC). </w:t>
      </w:r>
    </w:p>
    <w:p>
      <w:pPr>
        <w:pStyle w:val="[Normal]"/>
        <w:spacing w:line="360" w:lineRule="auto"/>
        <w:ind w:firstLine="1134"/>
        <w:jc w:val="both"/>
        <w:rPr>
          <w:lang w:val="es-AR" w:eastAsia="es-AR" w:bidi="es-AR"/>
        </w:rPr>
      </w:pPr>
      <w:r>
        <w:rPr>
          <w:lang w:val="es-AR" w:eastAsia="es-AR" w:bidi="es-AR"/>
        </w:rPr>
        <w:t xml:space="preserve">En efecto, la solución que aquí se propicia es la que mejor se adecua al interés superior de B.J.A. y T.B.A., pauta que guía toda decisión a adoptarse en materia de niñez y que ha sido definida como el conjunto de bienes necesarios para el desarrollo integral y la protección de la persona y los bienes de un menor dado y, entre ellos, el que más conviene en una circunstancia histórica determinada, analizada en concreto, ya que no se concibe un interés del menor puramente abstracto, excluyendo toda consideración dogmática para atender exclusivamente a las circunstancias particulares que presenta cada caso (SCBA C. 102.719, sent. del 30-III-2010).</w:t>
      </w:r>
    </w:p>
    <w:p>
      <w:pPr>
        <w:pStyle w:val="[Normal]"/>
        <w:spacing w:line="360" w:lineRule="auto"/>
        <w:ind w:firstLine="1134"/>
        <w:jc w:val="both"/>
        <w:rPr>
          <w:lang w:val="es-AR" w:eastAsia="es-AR" w:bidi="es-AR"/>
        </w:rPr>
      </w:pPr>
      <w:r>
        <w:rPr>
          <w:lang w:val="es-AR" w:eastAsia="es-AR" w:bidi="es-AR"/>
        </w:rPr>
        <w:t xml:space="preserve"> Por todo lo hasta aquí señalado, es que comparto la decisión del magistrado inferior, la cual prioriza el interés superior del menor y mantiene la situación existente, lo que me llevan a proponer al acuerdo, la confirmación de la sentencia apelada, con costas a la apelante perdidosa.</w:t>
      </w:r>
    </w:p>
    <w:p>
      <w:pPr>
        <w:pStyle w:val="[Normal]"/>
        <w:spacing w:line="360" w:lineRule="auto"/>
        <w:ind w:firstLine="1134"/>
        <w:jc w:val="both"/>
        <w:rPr>
          <w:lang w:val="es-AR" w:eastAsia="es-AR" w:bidi="es-AR"/>
        </w:rPr>
      </w:pPr>
      <w:r>
        <w:rPr>
          <w:lang w:val="es-AR" w:eastAsia="es-AR" w:bidi="es-AR"/>
        </w:rPr>
        <w:t xml:space="preserve">b.- En cuanto al recurso de apelación presentado por el Dr. Walter en fecha 23/5/2025, y advirtiendo que el recurrente se ha presentado en fecha 6/3/2023 como letrado patrocinante de la Sra. P., y que desde entonces ha intervenido en ejercicio de su derechos y ejerciendo su defensa, es que corresponde se proceda a regular honorarios de acuerdo a las tareas realizadas en esa instancia (art. 9, 14, 16, 21 de la Ley 14967). </w:t>
      </w:r>
    </w:p>
    <w:p>
      <w:pPr>
        <w:pStyle w:val="[Normal]"/>
        <w:spacing w:line="360" w:lineRule="auto"/>
        <w:ind w:firstLine="1134"/>
        <w:jc w:val="both"/>
        <w:rPr>
          <w:lang w:val="es-AR" w:eastAsia="es-AR" w:bidi="es-AR"/>
        </w:rPr>
      </w:pPr>
      <w:r>
        <w:rPr>
          <w:lang w:val="es-AR" w:eastAsia="es-AR" w:bidi="es-AR"/>
        </w:rPr>
        <w:t xml:space="preserve">No se establecen costas en esta instancia por este recurso en cuanto "El procedimiento de regulación de honorarios no constituye juicio contradictorio de índole tal que genere costas por lo que el recurso deducido en aquel y los respectivos trabajos de Alzada no devengan honorarios" (confr. esta Cámara causas C-6245 RSI 3 del 6-2-08; Nº 1291 RSI 10 del 7/2/14; N°2457 RSI 6/2016; N°2739 RSI 256/17).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deducido por la demandada y por ende confirmar la sentencia de primera instancia en lo que fuera materia de agravios, con costas al apelante vencido (Art. 68 del C.P.C. y C.).</w:t>
      </w:r>
    </w:p>
    <w:p>
      <w:pPr>
        <w:pStyle w:val="[Normal]"/>
        <w:spacing w:line="360" w:lineRule="auto"/>
        <w:ind w:firstLine="1134"/>
        <w:jc w:val="both"/>
        <w:rPr>
          <w:lang w:val="es-AR" w:eastAsia="es-AR" w:bidi="es-AR"/>
        </w:rPr>
      </w:pPr>
      <w:r>
        <w:rPr>
          <w:lang w:val="es-AR" w:eastAsia="es-AR" w:bidi="es-AR"/>
        </w:rPr>
        <w:t xml:space="preserve">2) Hacer lugar a la apelación interpuesta por el Dr. Juan Pablo Walter, debiéndose proceder a regular honorarios por su actuación en esa instancia (art. 9, 14, 16, 21 de la Ley 14967), sin costas (arts. 68 2°parte/9 del CPCC).</w:t>
      </w:r>
    </w:p>
    <w:p>
      <w:pPr>
        <w:pStyle w:val="[Normal]"/>
        <w:spacing w:line="360" w:lineRule="auto"/>
        <w:ind w:firstLine="1134"/>
        <w:jc w:val="both"/>
        <w:rPr>
          <w:lang w:val="es-AR" w:eastAsia="es-AR" w:bidi="es-AR"/>
        </w:rPr>
      </w:pPr>
      <w:r>
        <w:rPr>
          <w:lang w:val="es-AR" w:eastAsia="es-AR" w:bidi="es-AR"/>
        </w:rPr>
        <w:t xml:space="preserve">3) Diferir la regulación de los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Rechazar el recurso de apelación deducido por la demandada y por ende confirmar la sentencia de primera instancia en lo que fuera materia de agravios, con costas al apelante vencido (Art. 68 del C.P.C. y C.).</w:t>
      </w:r>
    </w:p>
    <w:p>
      <w:pPr>
        <w:pStyle w:val="[Normal]"/>
        <w:spacing w:line="360" w:lineRule="auto"/>
        <w:ind w:firstLine="1134"/>
        <w:jc w:val="both"/>
        <w:rPr>
          <w:lang w:val="es-AR" w:eastAsia="es-AR" w:bidi="es-AR"/>
        </w:rPr>
      </w:pPr>
      <w:r>
        <w:rPr>
          <w:lang w:val="es-AR" w:eastAsia="es-AR" w:bidi="es-AR"/>
        </w:rPr>
        <w:t xml:space="preserve">2) Hacer lugar a la apelación interpuesta por el Dr. Juan Pablo Walter, debiéndose proceder a regular honorarios por su actuación en esa instancia (art. 9, 14, 16, 21 de la Ley 14967), sin costas (arts. 68 2°parte/9 del CPCC).</w:t>
      </w:r>
    </w:p>
    <w:p>
      <w:pPr>
        <w:pStyle w:val="[Normal]"/>
        <w:spacing w:line="360" w:lineRule="auto"/>
        <w:ind w:firstLine="1134"/>
        <w:jc w:val="both"/>
        <w:rPr>
          <w:lang w:val="es-AR" w:eastAsia="es-AR" w:bidi="es-AR"/>
        </w:rPr>
      </w:pPr>
      <w:r>
        <w:rPr>
          <w:lang w:val="es-AR" w:eastAsia="es-AR" w:bidi="es-AR"/>
        </w:rPr>
        <w:t xml:space="preserve">3) Diferir la regulación de los honorarios para su oportunidad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lang w:val="es-AR" w:eastAsia="es-AR" w:bidi="es-AR"/>
        </w:rPr>
        <w:t xml:space="preserve"> </w:t>
      </w:r>
    </w:p>
    <w:p>
      <w:pPr>
        <w:pStyle w:val="[Normal]"/>
        <w:rPr>
          <w:lang w:val="es-AR" w:eastAsia="es-AR" w:bidi="es-AR"/>
        </w:rPr>
      </w:pPr>
      <w:r>
        <w:rPr>
          <w:lang w:val="es-AR" w:eastAsia="es-AR" w:bidi="es-AR"/>
        </w:rPr>
        <w:t xml:space="preserve">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