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5842-25</w:t>
      </w:r>
      <w:r>
        <w:rPr>
          <w:lang w:val="es-AR" w:eastAsia="es-AR" w:bidi="es-AR"/>
        </w:rPr>
        <w:t xml:space="preserve"> caratulada </w:t>
      </w:r>
      <w:r>
        <w:rPr>
          <w:b/>
          <w:lang w:val="es-AR" w:eastAsia="es-AR" w:bidi="es-AR"/>
        </w:rPr>
        <w:t xml:space="preserve">"C.J.J C/ L.A.F S/ GUARDA A PARIENTES</w:t>
      </w:r>
      <w:r>
        <w:rPr>
          <w:lang w:val="es-AR" w:eastAsia="es-AR" w:bidi="es-AR"/>
        </w:rPr>
        <w:t xml:space="preserve">, Expte. 42518</w:t>
      </w:r>
      <w:r>
        <w:rPr>
          <w:color w:val="000000"/>
          <w:lang w:val="es-AR" w:eastAsia="es-AR" w:bidi="es-AR"/>
        </w:rPr>
        <w:t xml:space="preserve"> </w:t>
      </w:r>
      <w:r>
        <w:rPr>
          <w:lang w:val="es-AR" w:eastAsia="es-AR" w:bidi="es-AR"/>
        </w:rPr>
        <w:t xml:space="preserve">del Juzgado de Familia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se declaró incompetente para intervenir en la presente causa y una vez firme ordenó se remita al Juzgado de Familia que por turno corresponda de la localidad de Granadero Baigorria, Pcia. de Santa Fe.</w:t>
      </w:r>
    </w:p>
    <w:p>
      <w:pPr>
        <w:pStyle w:val="[Normal]"/>
        <w:spacing w:line="360" w:lineRule="auto"/>
        <w:ind w:firstLine="1134"/>
        <w:jc w:val="both"/>
        <w:rPr>
          <w:lang w:val="es-AR" w:eastAsia="es-AR" w:bidi="es-AR"/>
        </w:rPr>
      </w:pPr>
      <w:r>
        <w:rPr>
          <w:lang w:val="es-AR" w:eastAsia="es-AR" w:bidi="es-AR"/>
        </w:rPr>
        <w:t xml:space="preserve">En disconformidad con lo resuelto interpone la parte actora recurso de reposición con apelación en subsidio el 16-7-2025, siendo desestimada la revocatoria y concedida en relación la apelación el 14-8-2025, pasando en vista a la Asesora de Incapaces quien evacua la misma el 4-9-2025 entendiendo que corresponde el rechazo de la apelación deducida.</w:t>
      </w:r>
    </w:p>
    <w:p>
      <w:pPr>
        <w:pStyle w:val="[Normal]"/>
        <w:spacing w:line="360" w:lineRule="auto"/>
        <w:ind w:firstLine="1134"/>
        <w:jc w:val="both"/>
        <w:rPr>
          <w:lang w:val="es-AR" w:eastAsia="es-AR" w:bidi="es-AR"/>
        </w:rPr>
      </w:pPr>
      <w:r>
        <w:rPr>
          <w:lang w:val="es-AR" w:eastAsia="es-AR" w:bidi="es-AR"/>
        </w:rPr>
        <w:t xml:space="preserve">Ingresada la causa el 16-9-2025 a este Organismo, en fecha 23-9-2025 se dicta el llamamiento de autos para resolver providencia que firme a la fecha deja la presente en condiciones de ser resuelta.</w:t>
      </w:r>
    </w:p>
    <w:p>
      <w:pPr>
        <w:pStyle w:val="[Normal]"/>
        <w:spacing w:line="360" w:lineRule="auto"/>
        <w:ind w:firstLine="1134"/>
        <w:jc w:val="both"/>
        <w:rPr>
          <w:lang w:val="es-AR" w:eastAsia="es-AR" w:bidi="es-AR"/>
        </w:rPr>
      </w:pPr>
      <w:r>
        <w:rPr>
          <w:lang w:val="es-AR" w:eastAsia="es-AR" w:bidi="es-AR"/>
        </w:rPr>
        <w:t xml:space="preserve">La recurrente se duele ante la declaración de incompetencia emitido por el a quo en razón de que el centro de vida del menor se encuentra en Granadero Baigorria, y no en Pergamino como erróneamente expuso.</w:t>
      </w:r>
    </w:p>
    <w:p>
      <w:pPr>
        <w:pStyle w:val="[Normal]"/>
        <w:spacing w:line="360" w:lineRule="auto"/>
        <w:ind w:firstLine="1134"/>
        <w:jc w:val="both"/>
        <w:rPr>
          <w:lang w:val="es-AR" w:eastAsia="es-AR" w:bidi="es-AR"/>
        </w:rPr>
      </w:pPr>
      <w:r>
        <w:rPr>
          <w:lang w:val="es-AR" w:eastAsia="es-AR" w:bidi="es-AR"/>
        </w:rPr>
        <w:t xml:space="preserve">Señala que ante las pruebas acompañadas como lo expuesto en demanda, el niño nació Pergamino el día 16/07/2018, residiendo durante toda su vida en esta localidad, asistiendo al Jardín de Infantes y Escuela Primaria  N° 42  en Pergamino.</w:t>
      </w:r>
    </w:p>
    <w:p>
      <w:pPr>
        <w:pStyle w:val="[Normal]"/>
        <w:spacing w:line="360" w:lineRule="auto"/>
        <w:ind w:firstLine="1134"/>
        <w:jc w:val="both"/>
        <w:rPr>
          <w:lang w:val="es-AR" w:eastAsia="es-AR" w:bidi="es-AR"/>
        </w:rPr>
      </w:pPr>
      <w:r>
        <w:rPr>
          <w:lang w:val="es-AR" w:eastAsia="es-AR" w:bidi="es-AR"/>
        </w:rPr>
        <w:t xml:space="preserve">Manifiesta que la madre solo realizó una ruptura forzada respecto del niño con su familia paterna, como también de la escuela donde asistía y de todos sus vínculos afectivos en general, dado que el menor residió de manera continua en Pergamino durante sus seis años de vida.</w:t>
      </w:r>
    </w:p>
    <w:p>
      <w:pPr>
        <w:pStyle w:val="[Normal]"/>
        <w:spacing w:line="360" w:lineRule="auto"/>
        <w:ind w:firstLine="1134"/>
        <w:jc w:val="both"/>
        <w:rPr>
          <w:lang w:val="es-AR" w:eastAsia="es-AR" w:bidi="es-AR"/>
        </w:rPr>
      </w:pPr>
      <w:r>
        <w:rPr>
          <w:lang w:val="es-AR" w:eastAsia="es-AR" w:bidi="es-AR"/>
        </w:rPr>
        <w:t xml:space="preserve">Aduce que no puede declinar el judicante la competencia sin evaluar la permanencia y vínculos que configuran el centro de vida del menor, como así también el interés superior del niño que exige que intervenga un juzgado que conozca su historia, contexto social, y pueda garantizar una resolución cercana a su realidad afectiva.  Efectúa reserva del Caso Federal.</w:t>
      </w:r>
    </w:p>
    <w:p>
      <w:pPr>
        <w:pStyle w:val="[Normal]"/>
        <w:spacing w:line="360" w:lineRule="auto"/>
        <w:ind w:firstLine="1134"/>
        <w:jc w:val="both"/>
        <w:rPr>
          <w:lang w:val="es-AR" w:eastAsia="es-AR" w:bidi="es-AR"/>
        </w:rPr>
      </w:pPr>
      <w:r>
        <w:rPr>
          <w:lang w:val="es-AR" w:eastAsia="es-AR" w:bidi="es-AR"/>
        </w:rPr>
        <w:t xml:space="preserve">Peticiona se revoque el auto atacado y se haga lugar a la tramitación de los presentes en el Juzgado de Familia de Pergamino. </w:t>
      </w:r>
    </w:p>
    <w:p>
      <w:pPr>
        <w:pStyle w:val="[Normal]"/>
        <w:spacing w:line="360" w:lineRule="auto"/>
        <w:ind w:firstLine="1134"/>
        <w:jc w:val="both"/>
        <w:rPr>
          <w:lang w:val="es-AR" w:eastAsia="es-AR" w:bidi="es-AR"/>
        </w:rPr>
      </w:pPr>
      <w:r>
        <w:rPr>
          <w:lang w:val="es-AR" w:eastAsia="es-AR" w:bidi="es-AR"/>
        </w:rPr>
        <w:t xml:space="preserve">En fecha 4/9/2025 toma intervención la Sra. Asesora de incapaces, quien en su dictamen solicita se confirme la sentencia dictada por el juez de origen, en atención a que el menor se encuentra residiendo en la actualidad en la ciudad de Granadero Baigorria, por lo que impetra el rechazo de la pieza recursiva.</w:t>
      </w:r>
    </w:p>
    <w:p>
      <w:pPr>
        <w:pStyle w:val="[Normal]"/>
        <w:spacing w:line="360" w:lineRule="auto"/>
        <w:ind w:firstLine="1134"/>
        <w:jc w:val="both"/>
        <w:rPr>
          <w:lang w:val="es-AR" w:eastAsia="es-AR" w:bidi="es-AR"/>
        </w:rPr>
      </w:pPr>
      <w:r>
        <w:rPr>
          <w:lang w:val="es-AR" w:eastAsia="es-AR" w:bidi="es-AR"/>
        </w:rPr>
        <w:t xml:space="preserve">Liminarmente resulta necesario señalar que la competencia territorial no resulta prorrogable, dado el carácter de orden público de las normas que regulan  la materia, que se vincula con la garantía de los jueces naturales contemplada por los arts. 18 de la Const. Nac., 9 y 15 de la Const. Pcia. Bs. As..</w:t>
      </w:r>
    </w:p>
    <w:p>
      <w:pPr>
        <w:pStyle w:val="[Normal]"/>
        <w:spacing w:line="360" w:lineRule="auto"/>
        <w:ind w:firstLine="1134"/>
        <w:jc w:val="both"/>
        <w:rPr>
          <w:lang w:val="es-AR" w:eastAsia="es-AR" w:bidi="es-AR"/>
        </w:rPr>
      </w:pPr>
      <w:r>
        <w:rPr>
          <w:lang w:val="es-AR" w:eastAsia="es-AR" w:bidi="es-AR"/>
        </w:rPr>
        <w:t xml:space="preserve">En efecto, el código de fondo en el art. 716 establece que en los procesos referidos a la responsabilidad parental, guarda, cuidado, régimen de comunicación, alimentos, adopción y otros que deciden en forma principal o que modifican lo resuelto en otra jurisdicción del territorio nacional sobre los derechos de niños, niñas y adolescentes, es competente el juez del lugar donde la persona menor de edad tiene su centro de vida (cfr. SCBA LP Rc 120271 I 07/10/2015). </w:t>
      </w:r>
    </w:p>
    <w:p>
      <w:pPr>
        <w:pStyle w:val="[Normal]"/>
        <w:spacing w:line="360" w:lineRule="auto"/>
        <w:ind w:firstLine="1134"/>
        <w:jc w:val="both"/>
        <w:rPr>
          <w:lang w:val="es-AR" w:eastAsia="es-AR" w:bidi="es-AR"/>
        </w:rPr>
      </w:pPr>
      <w:r>
        <w:rPr>
          <w:lang w:val="es-AR" w:eastAsia="es-AR" w:bidi="es-AR"/>
        </w:rPr>
        <w:t xml:space="preserve">Partiendo de allí, y analizando la cuestión traída, en el caso se encuentra involucrado un menor de 6 años de edad, es por ello que debe primar en el asunto el interés superior del niño definido como "la máxima satisfacción, integral y simultánea de los derechos y garantías reconocidos en la ley" (art. 3, ley 26.061), el cual debe respetar entre otras cuestiones -dice el inc. f- su "centro de vida", entendiéndose por éste "el lugar donde las niñas, niños y adolescentes hubiesen transcurrido en condiciones legítimas la mayor parte de su existencia". A este mismo principio recurre la comunidad jurídica internacional, cuando los asuntos de competencia afectan a la niñez (vgr. Conferencias de La Haya de 1894 sobre tutela, de 1961 y de 1966 sobre competencia y ley aplicable en materia de protección de menores y de 1980 sobre aspectos civiles de sustracción internacional de menores). </w:t>
      </w:r>
    </w:p>
    <w:p>
      <w:pPr>
        <w:pStyle w:val="[Normal]"/>
        <w:spacing w:line="360" w:lineRule="auto"/>
        <w:ind w:firstLine="1134"/>
        <w:jc w:val="both"/>
        <w:rPr>
          <w:lang w:val="es-AR" w:eastAsia="es-AR" w:bidi="es-AR"/>
        </w:rPr>
      </w:pPr>
      <w:r>
        <w:rPr>
          <w:lang w:val="es-AR" w:eastAsia="es-AR" w:bidi="es-AR"/>
        </w:rPr>
        <w:t xml:space="preserve">Al respecto ha señalado la SCBA "Las normas sobre competencia requieren ser interpretadas actualmente con una perspectiva diferente al régimen anterior a la reforma constitucional de 1994. La Convención sobre los Derechos del Niño, en cuanto destaca la idea de sujeto de derechos y en su condición de persona, requiere una individualización autónoma e independiente de sus representantes legales, sin perjuicio de su condición de incapaz y, como tal, sujeto a la representación legal. Se desplaza el centro de imputación: es el niño quien debe indicar el eje a tener en cuenta para determinar su domicilio legal, sin perjuicio del que tienen sus representantes legales. El punto de conexión debe ser su "centro de vida", el lugar de su residencia habitual (conf. Solari, Néstor E., comentario a fallo en LL-2007-B, 623)". (SCBA, C 115227 S 14-3-2012,  JUBA B3901777).</w:t>
      </w:r>
    </w:p>
    <w:p>
      <w:pPr>
        <w:pStyle w:val="[Normal]"/>
        <w:spacing w:line="360" w:lineRule="auto"/>
        <w:ind w:firstLine="1134"/>
        <w:jc w:val="both"/>
        <w:rPr>
          <w:lang w:val="es-AR" w:eastAsia="es-AR" w:bidi="es-AR"/>
        </w:rPr>
      </w:pPr>
      <w:r>
        <w:rPr>
          <w:lang w:val="es-AR" w:eastAsia="es-AR" w:bidi="es-AR"/>
        </w:rPr>
        <w:t xml:space="preserve">La Corte Suprema tiene dicho reiteradamente que si los jueces que entablan la disputa están en situación legal análoga para asumir la función tutelar, la elección debe hacerse ponderando cuál de ellos se encuentra en mejores condiciones de alcanzar la protección integral de los derechos del niño (Fallos 327:3987, con remisión al dictamen de la Procuración y sus citas y Ferreyra, Miguel Ángel, sent. del 20-VIII-2008). En su fundamentación, el superior Tribunal ha utilizado también el principio de inmediatez para otorgar la competencia al juez en donde efectivamente viva el menor (Fallos 324:2486, 2487; 325:339; LL-2009-B. 410).</w:t>
      </w:r>
    </w:p>
    <w:p>
      <w:pPr>
        <w:pStyle w:val="[Normal]"/>
        <w:spacing w:line="360" w:lineRule="auto"/>
        <w:ind w:firstLine="1134"/>
        <w:jc w:val="both"/>
        <w:rPr>
          <w:lang w:val="es-AR" w:eastAsia="es-AR" w:bidi="es-AR"/>
        </w:rPr>
      </w:pPr>
      <w:r>
        <w:rPr>
          <w:lang w:val="es-AR" w:eastAsia="es-AR" w:bidi="es-AR"/>
        </w:rPr>
        <w:t xml:space="preserve">La noción de centro de vida evidencia que será el magistrado del fuero con jurisdicción en el lugar más cercano a ese ámbito, el que luce mejor posicionado para conocer y resolver en la forma más urgente la problemática de los niños en salvaguarda de sus derechos fundamentales (arg. arts. 3, 9 Y 12 Convención sobre los Derechos del Niño; arts. 2, 3 y concs. ley 26.061; arts. 4, 5, 6, 7 y concs. ley 13298), atendiendo así al principio de inmediatez que corresponde meritar en estos casos. (confr. en tal sent. "Código Civil y Comercial de la Nación", analizado, comparado y concordado, Alberto Bueres, ed. Hammurabi, t. 1, p.460/461).</w:t>
      </w:r>
    </w:p>
    <w:p>
      <w:pPr>
        <w:pStyle w:val="[Normal]"/>
        <w:spacing w:line="360" w:lineRule="auto"/>
        <w:ind w:firstLine="1134"/>
        <w:jc w:val="both"/>
        <w:rPr>
          <w:lang w:val="es-AR" w:eastAsia="es-AR" w:bidi="es-AR"/>
        </w:rPr>
      </w:pPr>
      <w:r>
        <w:rPr>
          <w:lang w:val="es-AR" w:eastAsia="es-AR" w:bidi="es-AR"/>
        </w:rPr>
        <w:t xml:space="preserve">En la especie se advierte que en la actualidad el centro de vida del niño B.C. se encuentra en la localidad de Granadero Baigorria, Santa Fe, donde el menor vive junto a su madre desde hace varios meses, conforme los propios dichos de la actora (ver escrito de fecha 24/6/2025 de la parte actora).</w:t>
      </w:r>
    </w:p>
    <w:p>
      <w:pPr>
        <w:pStyle w:val="[Normal]"/>
        <w:spacing w:line="360" w:lineRule="auto"/>
        <w:ind w:firstLine="1134"/>
        <w:jc w:val="both"/>
        <w:rPr>
          <w:lang w:val="es-AR" w:eastAsia="es-AR" w:bidi="es-AR"/>
        </w:rPr>
      </w:pPr>
      <w:r>
        <w:rPr>
          <w:lang w:val="es-AR" w:eastAsia="es-AR" w:bidi="es-AR"/>
        </w:rPr>
        <w:t xml:space="preserve">Y si bien no podemos soslayar lo argumentado por la recurrente en relación al cambio de domicilio inconsulto del menor realizado por la Sra. L., coincidimos con el magistrado de primer grado en que la realidad fáctica actual de las mismas conforme su nuevo centro de vida debe ponderarse, resultando competente para resolver los asuntos que los involucren el Juzgado de Familia en turno que corresponda a la localidad de Granadero Baigorria. Resultando tal órgano judicial especializado con más cercanía al desenvolvimiento cotidiano de sus destinatarias, procurando afectar en la menor medida posible la estabilidad que hubieren alcanzado.</w:t>
      </w:r>
    </w:p>
    <w:p>
      <w:pPr>
        <w:pStyle w:val="[Normal]"/>
        <w:spacing w:line="360" w:lineRule="auto"/>
        <w:ind w:firstLine="1134"/>
        <w:jc w:val="both"/>
        <w:rPr>
          <w:lang w:val="es-AR" w:eastAsia="es-AR" w:bidi="es-AR"/>
        </w:rPr>
      </w:pPr>
      <w:r>
        <w:rPr>
          <w:lang w:val="es-AR" w:eastAsia="es-AR" w:bidi="es-AR"/>
        </w:rPr>
        <w:t xml:space="preserve">Por último remarcamos que la directriz principal en materia de atribución de competencia en causas judiciales en las que estén en discusión los derechos de niños, niñas y adolescentes no es sino el interés superior del niño. Ello trae consigo una consecuencia positiva y otra negativa. La primera reside en la necesidad de garantizar la "máxima satisfacción, integral y simultánea de los derechos y garantías reconocidos en esta ley". La segunda refiere a la necesidad de relegar otros intereses (aún jurídicamente protegidos) cuando su aseguramiento importa un menoscabo o postergación para los derechos de la niñez y la adolescencia.</w:t>
      </w:r>
    </w:p>
    <w:p>
      <w:pPr>
        <w:pStyle w:val="[Normal]"/>
        <w:spacing w:line="360" w:lineRule="auto"/>
        <w:ind w:firstLine="1134"/>
        <w:jc w:val="both"/>
        <w:rPr>
          <w:lang w:val="es-AR" w:eastAsia="es-AR" w:bidi="es-AR"/>
        </w:rPr>
      </w:pPr>
      <w:r>
        <w:rPr>
          <w:lang w:val="es-AR" w:eastAsia="es-AR" w:bidi="es-AR"/>
        </w:rPr>
        <w:t xml:space="preserve">En nuestro  caso es la abuela paterna la que inicia la presente acción y en su líbelo inicial, solicita de manera urgente la intervención </w:t>
      </w:r>
      <w:r>
        <w:rPr>
          <w:lang w:val="es-AR" w:eastAsia="es-AR" w:bidi="es-AR"/>
        </w:rPr>
        <w:t xml:space="preserve">del Servicio Local de Granadero Baigorria,</w:t>
      </w:r>
      <w:r>
        <w:rPr>
          <w:lang w:val="es-AR" w:eastAsia="es-AR" w:bidi="es-AR"/>
        </w:rPr>
        <w:t xml:space="preserve"> con los fines de que informe las condiciones de habitación del menor, cuestiones que podrán ser dispuestas por el juez competente y del lugar donde el menor tiene su centro de vida, que es quien va a estar en mejor contacto con el sujeto vulnerable y podrá disponer las medidas que estime corresponder, siempre en beneficio del menor interesado.</w:t>
      </w:r>
    </w:p>
    <w:p>
      <w:pPr>
        <w:pStyle w:val="[Normal]"/>
        <w:spacing w:line="360" w:lineRule="auto"/>
        <w:ind w:firstLine="1134"/>
        <w:jc w:val="both"/>
        <w:rPr>
          <w:lang w:val="es-AR" w:eastAsia="es-AR" w:bidi="es-AR"/>
        </w:rPr>
      </w:pPr>
      <w:r>
        <w:rPr>
          <w:lang w:val="es-AR" w:eastAsia="es-AR" w:bidi="es-AR"/>
        </w:rPr>
        <w:t xml:space="preserve">En consecuencia y por primacía de la necesaria inmediación, concentración, celeridad y economía procesal en relación a las partes y en especial del menor, propongo al acuerdo de mi colega que sigue en orden de voto, confirmar el decisorio en crisis (arts. 716 y ccs. del CCyC, arts. 4, 242, 246, 270 y ccs. del CPCC; arts. 18 de la Const. Nac., y 15 de la Const. Pcia. Bs. 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vota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w:t>
      </w:r>
      <w:r>
        <w:rPr>
          <w:color w:val="0000FF"/>
          <w:lang w:val="es-AR" w:eastAsia="es-AR" w:bidi="es-AR"/>
        </w:rPr>
        <w:t xml:space="preserve"> </w:t>
      </w:r>
      <w:r>
        <w:rPr>
          <w:lang w:val="es-AR" w:eastAsia="es-AR" w:bidi="es-AR"/>
        </w:rPr>
        <w:t xml:space="preserve">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360" w:lineRule="auto"/>
        <w:ind w:firstLine="1134"/>
        <w:jc w:val="both"/>
        <w:rPr>
          <w:color w:val="000000"/>
          <w:lang w:val="es-AR" w:eastAsia="es-AR" w:bidi="es-AR"/>
        </w:rPr>
      </w:pPr>
      <w:r>
        <w:rPr>
          <w:lang w:val="es-AR" w:eastAsia="es-AR" w:bidi="es-AR"/>
        </w:rPr>
        <w:t xml:space="preserve">Sin costas por no mediar contradicción (arts. 68 2°parte del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vota en el mismo sentido. </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360" w:lineRule="auto"/>
        <w:ind w:firstLine="1134"/>
        <w:jc w:val="both"/>
        <w:rPr>
          <w:lang w:val="es-AR" w:eastAsia="es-AR" w:bidi="es-AR"/>
        </w:rPr>
      </w:pPr>
      <w:r>
        <w:rPr>
          <w:lang w:val="es-AR" w:eastAsia="es-AR" w:bidi="es-AR"/>
        </w:rPr>
        <w:t xml:space="preserve">Sin costas por no mediar contradicción (arts. 68 2°parte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