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5396-24</w:t>
      </w:r>
      <w:r>
        <w:rPr>
          <w:lang w:val="es-AR" w:eastAsia="es-AR" w:bidi="es-AR"/>
        </w:rPr>
        <w:t xml:space="preserve"> caratulada </w:t>
      </w:r>
      <w:r>
        <w:rPr>
          <w:b/>
          <w:lang w:val="es-AR" w:eastAsia="es-AR" w:bidi="es-AR"/>
        </w:rPr>
        <w:t xml:space="preserve">"</w:t>
      </w:r>
      <w:r>
        <w:rPr>
          <w:b/>
          <w:color w:val="000000"/>
          <w:lang w:val="es-AR" w:eastAsia="es-AR" w:bidi="es-AR"/>
        </w:rPr>
        <w:t xml:space="preserve">CORIA JUAN FRANCISCO C/ ROMEA NELIDA CRISTINA Y OTRO/A S/ DAÑOS Y PERJ. AUTOM. S/LESIONES (EXC. ESTADO)</w:t>
      </w:r>
      <w:r>
        <w:rPr>
          <w:b/>
          <w:lang w:val="es-AR" w:eastAsia="es-AR" w:bidi="es-AR"/>
        </w:rPr>
        <w:t xml:space="preserve">"</w:t>
      </w:r>
      <w:r>
        <w:rPr>
          <w:lang w:val="es-AR" w:eastAsia="es-AR" w:bidi="es-AR"/>
        </w:rPr>
        <w:t xml:space="preserve">, Expte. N° 66936</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 </w:t>
      </w:r>
      <w:r>
        <w:rPr>
          <w:lang w:val="es-AR" w:eastAsia="es-AR" w:bidi="es-AR"/>
        </w:rPr>
        <w:t xml:space="preserve">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 en cuanto fuera motivo de agravio?.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Juez Roberto Degleue dijo:</w:t>
      </w:r>
    </w:p>
    <w:p>
      <w:pPr>
        <w:pStyle w:val="[Normal]"/>
        <w:spacing w:line="360" w:lineRule="auto"/>
        <w:ind w:firstLine="1134"/>
        <w:jc w:val="both"/>
        <w:rPr>
          <w:lang w:val="es-AR" w:eastAsia="es-AR" w:bidi="es-AR"/>
        </w:rPr>
      </w:pPr>
      <w:r>
        <w:rPr>
          <w:lang w:val="es-AR" w:eastAsia="es-AR" w:bidi="es-AR"/>
        </w:rPr>
        <w:t xml:space="preserve">El  Magistrado de la anterior sede reguló los honorarios de la mediadora interviniente en autos Dra. Aixa Clarisa Carrete, en la suma equivalente a 7.31 jus arancelarios, ello con más el porcentual previsto por el art. 12 de la ley 6716.</w:t>
      </w:r>
    </w:p>
    <w:p>
      <w:pPr>
        <w:pStyle w:val="[Normal]"/>
        <w:spacing w:line="360" w:lineRule="auto"/>
        <w:ind w:firstLine="1134"/>
        <w:jc w:val="both"/>
        <w:rPr>
          <w:b/>
          <w:lang w:val="es-AR" w:eastAsia="es-AR" w:bidi="es-AR"/>
        </w:rPr>
      </w:pPr>
      <w:r>
        <w:rPr>
          <w:lang w:val="es-AR" w:eastAsia="es-AR" w:bidi="es-AR"/>
        </w:rPr>
        <w:t xml:space="preserve">Lo decidido dio lugar al recurso de apelación deducido por el apoderado de la parte demandada y citada en garantía Seguros Bernardino Rivadavia Cooperativa Ltda. el 14-7-2025 y fundado al momento de su interposición, el que fuera concedido en relación el 17-7-2025. </w:t>
      </w:r>
    </w:p>
    <w:p>
      <w:pPr>
        <w:pStyle w:val="[Normal]"/>
        <w:spacing w:line="360" w:lineRule="auto"/>
        <w:ind w:firstLine="1134"/>
        <w:jc w:val="both"/>
        <w:rPr>
          <w:lang w:val="es-AR" w:eastAsia="es-AR" w:bidi="es-AR"/>
        </w:rPr>
      </w:pPr>
      <w:r>
        <w:rPr>
          <w:lang w:val="es-AR" w:eastAsia="es-AR" w:bidi="es-AR"/>
        </w:rPr>
        <w:t xml:space="preserve">El</w:t>
      </w:r>
      <w:r>
        <w:rPr>
          <w:b/>
          <w:lang w:val="es-AR" w:eastAsia="es-AR" w:bidi="es-AR"/>
        </w:rPr>
        <w:t xml:space="preserve"> </w:t>
      </w:r>
      <w:r>
        <w:rPr>
          <w:lang w:val="es-AR" w:eastAsia="es-AR" w:bidi="es-AR"/>
        </w:rPr>
        <w:t xml:space="preserve">recurrente se agravia de los honorarios regulados en favor de la mediadora interviniente esgrimiendo que resultan excesivos, como evidente la desproporción de la suma de 7,31 Jus a un valor de $ 42.219 ($ 08.620,69 más aportes), lo que representa prácticamente el 11% de la base regulatoria.</w:t>
      </w:r>
    </w:p>
    <w:p>
      <w:pPr>
        <w:pStyle w:val="[Normal]"/>
        <w:spacing w:line="360" w:lineRule="auto"/>
        <w:ind w:firstLine="1134"/>
        <w:jc w:val="both"/>
        <w:rPr>
          <w:b/>
          <w:lang w:val="es-AR" w:eastAsia="es-AR" w:bidi="es-AR"/>
        </w:rPr>
      </w:pPr>
      <w:r>
        <w:rPr>
          <w:lang w:val="es-AR" w:eastAsia="es-AR" w:bidi="es-AR"/>
        </w:rPr>
        <w:t xml:space="preserve">Expresa que el importe fijado resulta desproporcionado en relación al monto del acuerdo, máxime si se tiene en cuenta la tarea desplegada por la nombrada que consistió en el envío de una carta documento y la confección de un acta de audiencia, y que allí quedó cerrada la instancia, por voluntad del requirente, quedando así plasmada objetivamente la labor que se ha justipreciado en dinero en el auto regulatorio (art. 16 ley 8.904).</w:t>
      </w:r>
    </w:p>
    <w:p>
      <w:pPr>
        <w:pStyle w:val="[Normal]"/>
        <w:spacing w:line="360" w:lineRule="auto"/>
        <w:ind w:firstLine="1134"/>
        <w:jc w:val="both"/>
        <w:rPr>
          <w:lang w:val="es-AR" w:eastAsia="es-AR" w:bidi="es-AR"/>
        </w:rPr>
      </w:pPr>
      <w:r>
        <w:rPr>
          <w:lang w:val="es-AR" w:eastAsia="es-AR" w:bidi="es-AR"/>
        </w:rPr>
        <w:t xml:space="preserve">Añade que la mediadora ha fracasado en su función, esto es procurar un acercamiento entre las partes, y frente a ello se le ha regulado un monto muy elevado si se lo compara proporcionalmente a las tareas desplegadas por los letrados intervinientes a lo largo del proceso.</w:t>
      </w:r>
    </w:p>
    <w:p>
      <w:pPr>
        <w:pStyle w:val="[Normal]"/>
        <w:spacing w:line="360" w:lineRule="auto"/>
        <w:ind w:firstLine="1134"/>
        <w:jc w:val="both"/>
        <w:rPr>
          <w:lang w:val="es-AR" w:eastAsia="es-AR" w:bidi="es-AR"/>
        </w:rPr>
      </w:pPr>
      <w:r>
        <w:rPr>
          <w:lang w:val="es-AR" w:eastAsia="es-AR" w:bidi="es-AR"/>
        </w:rPr>
        <w:t xml:space="preserve">Asimismo, solicita la declaración de inconstitucionalidad del art. 31 de la Ley 13.951 y del art. 27 del decreto reglamentario  2530/10, adecuándose los honorarios de la Mediadora no sólo al valor del litigio,  sino también a la importancia, alcance, entidad y eficacia de las tareas desempeñadas. Consigna fallos de aplicación.</w:t>
      </w:r>
    </w:p>
    <w:p>
      <w:pPr>
        <w:pStyle w:val="[Normal]"/>
        <w:spacing w:line="360" w:lineRule="auto"/>
        <w:ind w:firstLine="1134"/>
        <w:jc w:val="both"/>
        <w:rPr>
          <w:lang w:val="es-AR" w:eastAsia="es-AR" w:bidi="es-AR"/>
        </w:rPr>
      </w:pPr>
      <w:r>
        <w:rPr>
          <w:lang w:val="es-AR" w:eastAsia="es-AR" w:bidi="es-AR"/>
        </w:rPr>
        <w:t xml:space="preserve">Por lo expuesto, solicita se reduzcan los estipendios profesionales de la mediadora.</w:t>
      </w:r>
    </w:p>
    <w:p>
      <w:pPr>
        <w:pStyle w:val="[Normal]"/>
        <w:spacing w:line="360" w:lineRule="auto"/>
        <w:ind w:firstLine="1134"/>
        <w:jc w:val="both"/>
        <w:rPr>
          <w:lang w:val="es-AR" w:eastAsia="es-AR" w:bidi="es-AR"/>
        </w:rPr>
      </w:pPr>
      <w:r>
        <w:rPr>
          <w:lang w:val="es-AR" w:eastAsia="es-AR" w:bidi="es-AR"/>
        </w:rPr>
        <w:t xml:space="preserve">Conferido el pertinente traslado del memorial a la mediadora, y no habiendo ésta contestado el mismo se le dio por perdido el derecho dejado de usar.</w:t>
      </w:r>
    </w:p>
    <w:p>
      <w:pPr>
        <w:pStyle w:val="[Normal]"/>
        <w:spacing w:line="360" w:lineRule="auto"/>
        <w:ind w:firstLine="1134"/>
        <w:jc w:val="both"/>
        <w:rPr>
          <w:lang w:val="es-AR" w:eastAsia="es-AR" w:bidi="es-AR"/>
        </w:rPr>
      </w:pPr>
      <w:r>
        <w:rPr>
          <w:lang w:val="es-AR" w:eastAsia="es-AR" w:bidi="es-AR"/>
        </w:rPr>
        <w:t xml:space="preserve">Con fecha 9-9-2025 ingresan los autos a este Organismo, dictándose el llamamiento de autos para resolver el 16-9-2025, providencia que estando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lang w:val="es-AR" w:eastAsia="es-AR" w:bidi="es-AR"/>
        </w:rPr>
      </w:pPr>
      <w:r>
        <w:rPr>
          <w:lang w:val="es-AR" w:eastAsia="es-AR" w:bidi="es-AR"/>
        </w:rPr>
        <w:t xml:space="preserve">No obstante ello, cabe advertir que yerra la apelante al plantear la inconstitucionalidad del art. 27 del decreto reglamentario 2530/10 por cuanto no surge la aplicación efectiva de la norma en cuestión (v. resolución del 18/7/2025 apartado VI.-). </w:t>
      </w:r>
    </w:p>
    <w:p>
      <w:pPr>
        <w:pStyle w:val="[Normal]"/>
        <w:spacing w:line="360" w:lineRule="auto"/>
        <w:ind w:firstLine="1134"/>
        <w:jc w:val="both"/>
        <w:rPr>
          <w:lang w:val="es-AR" w:eastAsia="es-AR" w:bidi="es-AR"/>
        </w:rPr>
      </w:pPr>
      <w:r>
        <w:rPr>
          <w:lang w:val="es-AR" w:eastAsia="es-AR" w:bidi="es-AR"/>
        </w:rPr>
        <w:t xml:space="preserve">Para que un planteo de inconstitucionalidad sea procedente, debe haber un agravio real y actual al litigante derivado de la aplicación de la norma. Por lo tanto si la norma no se aplicó, no hay un conflicto directo con la misma, por lo que el litigante no ha sufrido un agravio concreto que justifique su revisión.</w:t>
      </w:r>
    </w:p>
    <w:p>
      <w:pPr>
        <w:pStyle w:val="[Normal]"/>
        <w:spacing w:line="360" w:lineRule="auto"/>
        <w:ind w:firstLine="1134"/>
        <w:jc w:val="both"/>
        <w:rPr>
          <w:lang w:val="es-AR" w:eastAsia="es-AR" w:bidi="es-AR"/>
        </w:rPr>
      </w:pPr>
      <w:r>
        <w:rPr>
          <w:lang w:val="es-AR" w:eastAsia="es-AR" w:bidi="es-AR"/>
        </w:rPr>
        <w:t xml:space="preserve">Sentado ello, corresponde adentrarse en el tratamiento del recurso en tanto el agravio lo constituye el monto regulado a la Dra. Aixa C. Carrete por su trabajo como Mediadora que en la instancia de origen se los determinó en la suma equivalente a 7,31 jus de unidad arancelaria y que la apelante entiende desproporcionados.</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 la mediadora al envío de carta documento y a un acta de cierre de audiencia, y que ello sea factor determinante para solicitar la reducción de los honorarios profesionales. En nuestro caso, y de acuerdo a las constancias agregadas en el libelo inicial, se han celebrado 4 audiencias cuya fecha de cierre ocurrió el 13/10/2023.</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-de noviembre de 2022 hasta Octubre 2023; artículos 31 de la ley 13.951 y 31 del decreto 600/21-, y meritando en dicho orden el monto que resulta de la transacción arribada en el proceso ($2.800.000), valor jus al momento de la regulación de primera instancia $42.219 (Ac. 4167/24 SCBA), monto del asunto equivalente a 66,32 jus, los honorarios por las tareas de mediación han sido debidamente fijados en la suma equivalente a 7,31 jus de unidad arancelaria (art. 31 inc. "b" del decreto 600/21). </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 por cuanto </w:t>
      </w:r>
      <w:r>
        <w:rPr>
          <w:i/>
          <w:lang w:val="es-AR" w:eastAsia="es-AR" w:bidi="es-AR"/>
        </w:rPr>
        <w:t xml:space="preserve">"El procedimiento de regulación de honorarios no constituye juicio contradictorio de índole tal que genere costas por lo que el recurso deducido en aquel y los respectivos trabajos de Alzada no devengan honorarios"</w:t>
      </w:r>
      <w:r>
        <w:rPr>
          <w:lang w:val="es-AR" w:eastAsia="es-AR" w:bidi="es-AR"/>
        </w:rPr>
        <w:t xml:space="preserve"> (confr. esta Cámara causas C-6245 RSI 3 del 6-2-08; Nº 1291 RSI 10 del 7/2/14, Nº 2457 RSI 6/2016, entre otros).</w:t>
      </w:r>
    </w:p>
    <w:p>
      <w:pPr>
        <w:pStyle w:val="[Normal]"/>
        <w:spacing w:line="360" w:lineRule="auto"/>
        <w:ind w:firstLine="1134"/>
        <w:jc w:val="both"/>
        <w:rPr>
          <w:b/>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b/>
          <w:lang w:val="es-AR" w:eastAsia="es-AR" w:bidi="es-AR"/>
        </w:rPr>
      </w:pPr>
      <w:r>
        <w:rPr>
          <w:lang w:val="es-AR" w:eastAsia="es-AR" w:bidi="es-AR"/>
        </w:rPr>
        <w:t xml:space="preserve">Sin costas (art. 68 2º párr. CPCC).</w:t>
      </w:r>
    </w:p>
    <w:p>
      <w:pPr>
        <w:pStyle w:val="[Normal]"/>
        <w:spacing w:line="360" w:lineRule="auto"/>
        <w:ind w:firstLine="1134"/>
        <w:jc w:val="both"/>
        <w:rPr>
          <w:b/>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b/>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b/>
          <w:lang w:val="es-AR" w:eastAsia="es-AR" w:bidi="es-AR"/>
        </w:rPr>
      </w:pPr>
      <w:r>
        <w:rPr>
          <w:lang w:val="es-AR" w:eastAsia="es-AR" w:bidi="es-AR"/>
        </w:rPr>
        <w:t xml:space="preserve">Sin costas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10:41:04 -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10:54:21 -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11:27:01 -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‰6q")è&amp;gè_|Š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228102090006710063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30/10/2025 11:27:13 hs. bajo el número RS-148-2025 por PE\melustondo.</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