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5771-25</w:t>
      </w:r>
      <w:r>
        <w:rPr>
          <w:lang w:val="es-AR" w:eastAsia="es-AR" w:bidi="es-AR"/>
        </w:rPr>
        <w:t xml:space="preserve"> caratulada </w:t>
      </w:r>
      <w:r>
        <w:rPr>
          <w:b/>
          <w:lang w:val="es-AR" w:eastAsia="es-AR" w:bidi="es-AR"/>
        </w:rPr>
        <w:t xml:space="preserve">"</w:t>
      </w:r>
      <w:r>
        <w:rPr>
          <w:b/>
          <w:color w:val="000000"/>
          <w:lang w:val="es-AR" w:eastAsia="es-AR" w:bidi="es-AR"/>
        </w:rPr>
        <w:t xml:space="preserve">GOULD RICARDO C/ VOLKSWAGEN SA DE AHORRO PARA FINES DETERMINADOS  Y OTRO/A S/ CUMPLIMIENTO DE CONTRATOS CIVILES/COMERCIALES</w:t>
      </w:r>
      <w:r>
        <w:rPr>
          <w:b/>
          <w:lang w:val="es-AR" w:eastAsia="es-AR" w:bidi="es-AR"/>
        </w:rPr>
        <w:t xml:space="preserve">"</w:t>
      </w:r>
      <w:r>
        <w:rPr>
          <w:lang w:val="es-AR" w:eastAsia="es-AR" w:bidi="es-AR"/>
        </w:rPr>
        <w:t xml:space="preserve">, Expte. n° 89068</w:t>
      </w:r>
      <w:r>
        <w:rPr>
          <w:color w:val="000000"/>
          <w:lang w:val="es-AR" w:eastAsia="es-AR" w:bidi="es-AR"/>
        </w:rPr>
        <w:t xml:space="preserve"> </w:t>
      </w:r>
      <w:r>
        <w:rPr>
          <w:lang w:val="es-AR" w:eastAsia="es-AR" w:bidi="es-AR"/>
        </w:rPr>
        <w:t xml:space="preserve">del Juzgado Civil y Comercial N° 2, se practicó el sorteo de ley que determinó que la votación debía efectuarse en el siguiente orden: Roberto Degleue y Graciela Scaraffia, y estudiados los autos se resolvió plantear y votar las siguientes:</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señor Juez de la primera instancia hizo lugar a la demanda instaurada por el Sr. Ricardo Gould, condenando a la parte demandada  a abonar a la actora la liquidación que arroje oportunamente la aplicación de la cláusula contractual  del artículo 7 de las Condiciones Generales de la solicitud de adhesión suscripta -ver considerando V CONTRATO DE ADHESION - INTERESES Y PERJUICIOS PACTADOS-, y la suma de  Pesos DIEZ MILLONES - monto comprensivo del daño moral y punitivo - ($10.000.000), con más sus intereses calculados en la forma establecida en el considerando VI, a partir de la fecha de mora (17/12/2022) y hasta el momento de su efectivo pago (art. 768 C.C.C.N.). Aplicó las costas a la parte demandada vencida (art. 68 C.P.C.). Difirió la regulación de honorarios de los letrados intervinientes y de los peritos.</w:t>
      </w:r>
    </w:p>
    <w:p>
      <w:pPr>
        <w:pStyle w:val="[Normal]"/>
        <w:spacing w:line="360" w:lineRule="auto"/>
        <w:ind w:firstLine="1134"/>
        <w:jc w:val="both"/>
        <w:rPr>
          <w:lang w:val="es-AR" w:eastAsia="es-AR" w:bidi="es-AR"/>
        </w:rPr>
      </w:pPr>
      <w:r>
        <w:rPr>
          <w:lang w:val="es-AR" w:eastAsia="es-AR" w:bidi="es-AR"/>
        </w:rPr>
        <w:t xml:space="preserve">Dicho decisorio dio lugar a los recursos de apelación interpuestos por la parte actora el 29-5-2025 y por los apoderados de los demandados VOLKSWAGEN SA DE AHORRO PARA FINES DETERMINADOS y SAUMA WAGEN SAN  ISIDRO S.A. en fecha 27-5-2025 y 29-5-2025, respectivamente, y conferidos los traslados pertinentes contestados en tiempo y forma, se llama autos para resolver providencia que firme a la fecha deja la causa en condiciones de ser fallada.</w:t>
      </w:r>
    </w:p>
    <w:p>
      <w:pPr>
        <w:pStyle w:val="[Normal]"/>
        <w:spacing w:line="360" w:lineRule="auto"/>
        <w:ind w:firstLine="1134"/>
        <w:jc w:val="both"/>
        <w:rPr>
          <w:color w:val="000000"/>
          <w:lang w:val="es-AR" w:eastAsia="es-AR" w:bidi="es-AR"/>
        </w:rPr>
      </w:pPr>
      <w:r>
        <w:rPr>
          <w:b/>
          <w:lang w:val="es-AR" w:eastAsia="es-AR" w:bidi="es-AR"/>
        </w:rPr>
        <w:t xml:space="preserve"> </w:t>
      </w:r>
      <w:r>
        <w:rPr>
          <w:color w:val="000000"/>
          <w:lang w:val="es-AR" w:eastAsia="es-AR" w:bidi="es-AR"/>
        </w:rPr>
        <w:t xml:space="preserve">En sustento de su crítica recursiva, la parte actora planteó los siguientes puntos de agravio: 1) Desactualización del valor base para la multa contractual. En concreto, el actor se quejó de que la sentencia ordenó calcular la penalidad pactada sobre el valor del bien al momento del vencimiento del plazo de entrega, sin contemplar su actualización al momento efectivo de cumplimiento, lo que desnaturaliza la función resarcitoria de la cláusula penal. 2) Insuficiencia del monto indemnizatorio por daños extrapatrimoniales, cuestionando que la suma reconocida en concepto de daño moral y punitivo ($10.000.000) no refleja adecuadamente la gravedad del incumplimiento, la afectación a su dignidad como consumidor ni el efecto disuasivo que debe tener el daño punitivo frente a conductas reprochables de las empresas demandadas.</w:t>
      </w:r>
    </w:p>
    <w:p>
      <w:pPr>
        <w:pStyle w:val="[Normal]"/>
        <w:spacing w:line="360" w:lineRule="auto"/>
        <w:jc w:val="both"/>
        <w:rPr>
          <w:color w:val="000000"/>
          <w:lang w:val="es-AR" w:eastAsia="es-AR" w:bidi="es-AR"/>
        </w:rPr>
      </w:pPr>
      <w:r>
        <w:rPr>
          <w:color w:val="000000"/>
          <w:lang w:val="es-AR" w:eastAsia="es-AR" w:bidi="es-AR"/>
        </w:rPr>
        <w:t xml:space="preserve"> 	A su turno, la parte codemandada </w:t>
      </w:r>
      <w:r>
        <w:rPr>
          <w:lang w:val="es-AR" w:eastAsia="es-AR" w:bidi="es-AR"/>
        </w:rPr>
        <w:t xml:space="preserve">Sauma Wagen San Isidro S.A.</w:t>
      </w:r>
      <w:r>
        <w:rPr>
          <w:color w:val="000000"/>
          <w:lang w:val="es-AR" w:eastAsia="es-AR" w:bidi="es-AR"/>
        </w:rPr>
        <w:t xml:space="preserve">  expuso los siguientes puntos de agravio: 1) Apartamiento de la previsión contractual que estableció la cláusula penal por mora en la entrega como reparación exclusiva, al reconocer daño moral y punitivo. 2) Indebida atribución de responsabilidad de la concesionaria (Sauma), aduciendo que la su parte sólo fue intermedia, cumplió gestiones y la entrega se concretó el 03/12/2024. 3) Improcedencia y exhorbitancia del daño moral reconocido en sentencia, sosteniendo al respecto que el rubro no resulta de recibo por falta de prueba concreta de padecimientos extrapatrimoniales y que en materia contractual el perjuicio extrapatrimonial no se presume. 4) Indebido otorgamiento de daño punitivo y fijacion excesiva de su cuantía, por cuanto no concurren los presupuestos de dolo o culpa grave y eventual “beneficio indebido”, extremos no acreditados, y a que su aplicación tiene carácter excepcional  (art. 52 bis LDC).</w:t>
      </w:r>
    </w:p>
    <w:p>
      <w:pPr>
        <w:pStyle w:val="[Normal]"/>
        <w:spacing w:line="360" w:lineRule="auto"/>
        <w:jc w:val="both"/>
        <w:rPr>
          <w:color w:val="000000"/>
          <w:lang w:val="es-AR" w:eastAsia="es-AR" w:bidi="es-AR"/>
        </w:rPr>
      </w:pPr>
      <w:r>
        <w:rPr>
          <w:color w:val="000000"/>
          <w:lang w:val="es-AR" w:eastAsia="es-AR" w:bidi="es-AR"/>
        </w:rPr>
        <w:t xml:space="preserve"> 	Por su parte, Volkswagen S.A. de ahorro para fines determinados se agravia de: 1)  Apartamiento de la previsión contractual que estableció la cláusula penal por mora en la entrega como reparación exclusiva, al reconocer daño moral y punitivo. 2) Improcedente y exhorbitante concesión del daño moral atento a la falta de prueba respecto del padecimiento y a que no corresponde actualizar el rubro de referencia. 3) Indebido otorgamiento de daño punitivo y fijacion excesiva de su cuantía, por cuanto no concurren los prespuestos de dolo o culpa grave y eventual “beneficio indebido”, extremos no acreditados, y a que su aplicación tiene carácter excepcional  (art. 52 bis LDC).</w:t>
      </w:r>
    </w:p>
    <w:p>
      <w:pPr>
        <w:pStyle w:val="[Normal]"/>
        <w:spacing w:line="360" w:lineRule="auto"/>
        <w:jc w:val="both"/>
        <w:rPr>
          <w:lang w:val="es-AR" w:eastAsia="es-AR" w:bidi="es-AR"/>
        </w:rPr>
      </w:pPr>
      <w:r>
        <w:rPr>
          <w:color w:val="000000"/>
          <w:lang w:val="es-AR" w:eastAsia="es-AR" w:bidi="es-AR"/>
        </w:rPr>
        <w:t xml:space="preserve"> 	Al momento de contestar el traslado correspondiente a los recursos de apelación interpuestos por los codemandados, la parte actora sostuvo que la sentencia se ajustaba a derecho al reconocer el incumplimiento contractual, la cláusula penal por mora y la indemnización por daño moral y punitivo. Asimismo, argumentó que la interpretación del valor de la cláusula penal debe considerar la depreciación monetaria, actualizándose el monto conforme al valor real del bien. Señaló también que las demandadas incumplieron sus obligaciones en el marco de una relación de consumo. Reafirmó finalmente la procedencia de los intereses pactados y defendió el criterio del juez de grado. 	</w:t>
        <w:br w:type="textWrapping"/>
      </w:r>
      <w:r>
        <w:rPr>
          <w:color w:val="000000"/>
          <w:lang w:val="es-AR" w:eastAsia="es-AR" w:bidi="es-AR"/>
        </w:rPr>
        <w:t xml:space="preserve"> 	</w:t>
      </w:r>
      <w:r>
        <w:rPr>
          <w:lang w:val="es-AR" w:eastAsia="es-AR" w:bidi="es-AR"/>
        </w:rPr>
        <w:t xml:space="preserve">Entrando a resolver advierto que la cuestión sometida a revisión puede descomponerse en tres aspectos fundamentales.  El primero de ellos -de tipo esencial y originario- radica en determinar la existencia o no de responsabilidad solidaria de la codemandadas Sauma Wagen San Isidro S.A.</w:t>
      </w:r>
      <w:r>
        <w:rPr>
          <w:color w:val="000000"/>
          <w:lang w:val="es-AR" w:eastAsia="es-AR" w:bidi="es-AR"/>
        </w:rPr>
        <w:t xml:space="preserve"> </w:t>
      </w:r>
      <w:r>
        <w:rPr>
          <w:lang w:val="es-AR" w:eastAsia="es-AR" w:bidi="es-AR"/>
        </w:rPr>
        <w:t xml:space="preserve"> derivada del incumplimiento del contrato de ahorro previo celebrado con la parte actora.  El segundo -condicionado a la previa verificación positiva del aspecto anterior- versa sobre la procedencia y extensión de los rubros daño moral y daño punitivo.  Finalmente, el tercero se vincula a si corresponde o no actualizar la base (valor del bien) para el cálculo del daño moratorio.	</w:t>
        <w:br w:type="textWrapping"/>
      </w:r>
      <w:r>
        <w:rPr>
          <w:lang w:val="es-AR" w:eastAsia="es-AR" w:bidi="es-AR"/>
        </w:rPr>
        <w:t xml:space="preserve"> 	Por razones de orden lógico, el presente análisis discurrirá sobre la secuencia de referencia, adoptando un tratamiento metodológico separado o conjunto de los agravios expresados en función del grado de interrelación que presenten los mismos sobre los diferentes aspectos pasibles de crítica.-</w:t>
      </w:r>
    </w:p>
    <w:p>
      <w:pPr>
        <w:pStyle w:val="[Normal]"/>
        <w:spacing w:line="360" w:lineRule="auto"/>
        <w:ind w:firstLine="1134"/>
        <w:jc w:val="both"/>
        <w:rPr>
          <w:lang w:val="es-AR" w:eastAsia="es-AR" w:bidi="es-AR"/>
        </w:rPr>
      </w:pPr>
      <w:r>
        <w:rPr>
          <w:lang w:val="es-AR" w:eastAsia="es-AR" w:bidi="es-AR"/>
        </w:rPr>
        <w:t xml:space="preserve">En forma preliminar, dada la complejidad del entramado fáctico y jurídico implicado en la causa sometida a tratamiento, considero adecuado efectuar un encuadramiento normativo de la relación de consumo que se ha pergeñado entre las partes.-</w:t>
      </w:r>
    </w:p>
    <w:p>
      <w:pPr>
        <w:pStyle w:val="[Normal]"/>
        <w:spacing w:line="360" w:lineRule="auto"/>
        <w:ind w:firstLine="1134"/>
        <w:jc w:val="both"/>
        <w:rPr>
          <w:lang w:val="es-AR" w:eastAsia="es-AR" w:bidi="es-AR"/>
        </w:rPr>
      </w:pPr>
      <w:r>
        <w:rPr>
          <w:lang w:val="es-AR" w:eastAsia="es-AR" w:bidi="es-AR"/>
        </w:rPr>
        <w:t xml:space="preserve">Sobre esta base, es menester dejar sentado que: </w:t>
      </w:r>
      <w:r>
        <w:rPr>
          <w:i/>
          <w:lang w:val="es-AR" w:eastAsia="es-AR" w:bidi="es-AR"/>
        </w:rPr>
        <w:t xml:space="preserve">"...</w:t>
      </w:r>
      <w:r>
        <w:rPr>
          <w:lang w:val="es-AR" w:eastAsia="es-AR" w:bidi="es-AR"/>
        </w:rPr>
        <w:t xml:space="preserve"> </w:t>
      </w:r>
      <w:r>
        <w:rPr>
          <w:i/>
          <w:lang w:val="es-AR" w:eastAsia="es-AR" w:bidi="es-AR"/>
        </w:rPr>
        <w:t xml:space="preserve">Los denominados "planes de ahorro previo para fines determinados" constituyen contratos atípicos y complejos mediante los cuales un sujeto, denominado suscriptor, paga una cantidad de dinero en cuotas anticipadas, a los fines de la adquisición de un bien (en el caso, automotor), la que tendrá lugar en el futuro, una vez que se cumplan con las condiciones de adquisición pactadas, de sorteo o de licitación (conf. Lorenzetti, Ricardo L., "Tratado de los contratos", T.I, Ed. Rubinzal-Culzoni, 2004, pág. 747 y ss.; Rinessi, Antonio Juan, "Relación de consumo y derechos del consumidor", Ed. Astrea, Bs. As., 2006 pág. 393 y ss.).  El contrato de ahorro previo es un contrato por adhesión a cláusulas predispuestas o condiciones generales, de suerte que su configuración interna es establecida anticipadamente sólo por una de las partes (predisponente, profesional, proveedor, empresario, etc.), y si la otra decide contratar, debe hacerlo sobre la base de aquel contenido (conf. Brodsky, Jonathan M., "Las obligaciones contractuales y la sujeción a los términos del acuerdo en los contrato de ahorro previo", nota pub. en La Ley on line Cita Online: AR/DOC/353/2018) - Del mismo modo, el contrato de ahorro previo es también, típicamente, un contrato de consumo, conforme las pautas que surgen de la ley 24.240 y del art. 1092 del Código Civil y Comercial de la Nación. Así, los suscriptores del plan de ahorro previo, que buscan adquirir un bien (aquí, un vehículo 0 km) como "destinatarios finales", encuadran dentro del art. 1° de la LDC y, en consecuencia, están tutelados por la LDC (conf. Junyent Bas, Francisco, "Ejes del sistema de capitalización y ahorro previo para fines determinados. La tutela del consumidor en la compraventa de automóviles", nota pub. en La Ley on line, Cita Online: AR/DOC/1044/2019). En otras palabras, los suscriptores al Plan de Ahorro previo son consumidores en los términos del art. 1° de la ley 24.240</w:t>
      </w:r>
      <w:r>
        <w:rPr>
          <w:lang w:val="es-AR" w:eastAsia="es-AR" w:bidi="es-AR"/>
        </w:rPr>
        <w:t xml:space="preserve">..." ( Cámara de Apelación en lo Civil y Comercial, Sala Tercera, en acuerdo ordinario, a efectos de dictar sentencia en autos: "Llano Maximiliano Jorge c/ Volkswagen S. A. y otro / Daños y Perjuicios ).-</w:t>
      </w:r>
    </w:p>
    <w:p>
      <w:pPr>
        <w:pStyle w:val="[Normal]"/>
        <w:spacing w:line="360" w:lineRule="auto"/>
        <w:ind w:firstLine="1134"/>
        <w:jc w:val="both"/>
        <w:rPr>
          <w:lang w:val="es-AR" w:eastAsia="es-AR" w:bidi="es-AR"/>
        </w:rPr>
      </w:pPr>
      <w:r>
        <w:rPr>
          <w:lang w:val="es-AR" w:eastAsia="es-AR" w:bidi="es-AR"/>
        </w:rPr>
        <w:t xml:space="preserve"> Dilucidados los principales ejes conceptuales, sociológicos y jurídicos en torno a los cuales debe ser estudiada la problemática relativa a la responsabilidad de los organizadores de un plan de ahorro, he de adentrarme en el análisis de los agravios vertidos por las partes en relación a la temática aludida.-</w:t>
      </w:r>
    </w:p>
    <w:p>
      <w:pPr>
        <w:pStyle w:val="[Normal]"/>
        <w:spacing w:line="360" w:lineRule="auto"/>
        <w:ind w:firstLine="1134"/>
        <w:jc w:val="both"/>
        <w:rPr>
          <w:lang w:val="es-AR" w:eastAsia="es-AR" w:bidi="es-AR"/>
        </w:rPr>
      </w:pPr>
      <w:r>
        <w:rPr>
          <w:lang w:val="es-AR" w:eastAsia="es-AR" w:bidi="es-AR"/>
        </w:rPr>
        <w:t xml:space="preserve">I.- La primera crítica que abordaré según el orden de prioridad lógica preanunciado será la deslizada por la codemandada Sauma en relación a la atribución judicial de responsabilidad que le fuera endilgada en su carácter de intermediaria, circunstancia que -a criterio de la nombrada- estaría reñida con su intervención meramente instrumental y la observancia de las obligaciones a su cargo.</w:t>
      </w:r>
    </w:p>
    <w:p>
      <w:pPr>
        <w:pStyle w:val="[Normal]"/>
        <w:spacing w:line="360" w:lineRule="auto"/>
        <w:ind w:firstLine="1134"/>
        <w:jc w:val="both"/>
        <w:rPr>
          <w:lang w:val="es-AR" w:eastAsia="es-AR" w:bidi="es-AR"/>
        </w:rPr>
      </w:pPr>
      <w:r>
        <w:rPr>
          <w:lang w:val="es-AR" w:eastAsia="es-AR" w:bidi="es-AR"/>
        </w:rPr>
        <w:t xml:space="preserve">Entiendo que no asiste razón a la apelante cuando pretende deslindar su responsabilidad alegando que fue una </w:t>
      </w:r>
      <w:r>
        <w:rPr>
          <w:i/>
          <w:lang w:val="es-AR" w:eastAsia="es-AR" w:bidi="es-AR"/>
        </w:rPr>
        <w:t xml:space="preserve">“mera intermediaria”</w:t>
      </w:r>
      <w:r>
        <w:rPr>
          <w:lang w:val="es-AR" w:eastAsia="es-AR" w:bidi="es-AR"/>
        </w:rPr>
        <w:t xml:space="preserve"> y que la entrega dependía exclusivamente de la administradora. En una relación de consumo como la de autos, concesionaria y administradora integran la cadena de provisión y asumen frente al consumidor un deber de coordinación y resultado para la entrega en término del bien. La distribución interna de funciones o de stock constituye un riesgo propio de la organización empresaria que no puede ser opuesto al usuario final (arts. 3 y 40 LDC; arts. 1092 y ss. CCyCN). Por ello, la condena solidaria dispuesta en la instancia de grado se muestra acorde con el régimen protectorio, que impide fragmentar la tutela según arreglos internos entre proveedores.</w:t>
      </w:r>
    </w:p>
    <w:p>
      <w:pPr>
        <w:pStyle w:val="[Normal]"/>
        <w:spacing w:line="360" w:lineRule="auto"/>
        <w:ind w:firstLine="1134"/>
        <w:jc w:val="both"/>
        <w:rPr>
          <w:lang w:val="es-AR" w:eastAsia="es-AR" w:bidi="es-AR"/>
        </w:rPr>
      </w:pPr>
      <w:r>
        <w:rPr>
          <w:lang w:val="es-AR" w:eastAsia="es-AR" w:bidi="es-AR"/>
        </w:rPr>
        <w:t xml:space="preserve">Asimismo, la propia conducta de Sauma evidencia su rol activo y vinculante en la operación: fue la concesionaria quien comunicó el plazo de entrega que vencía el 17/12/2022, hito que el a quo tuvo por acreditado a partir de un mensaje de WhatsApp remitido por la propia Sauma. Esto compromete su responsabilidad por el incumplimiento temporal de la prestación frente al consumidor, con independencia de quién adquiriera el vehículo aguas arriba (terminal/administradora). No puede, entonces, desconocer la consecuencia de haber fijado expectativas ciertas de entrega, cuyo incumplimiento activó la respuesta contractual y legal correspondiente.</w:t>
      </w:r>
    </w:p>
    <w:p>
      <w:pPr>
        <w:pStyle w:val="[Normal]"/>
        <w:spacing w:line="360" w:lineRule="auto"/>
        <w:ind w:firstLine="1134"/>
        <w:jc w:val="both"/>
        <w:rPr>
          <w:lang w:val="es-AR" w:eastAsia="es-AR" w:bidi="es-AR"/>
        </w:rPr>
      </w:pPr>
      <w:r>
        <w:rPr>
          <w:lang w:val="es-AR" w:eastAsia="es-AR" w:bidi="es-AR"/>
        </w:rPr>
        <w:t xml:space="preserve">Tampoco enerva su responsabilidad el dato -invocado por la apelante- de que la entrega finalmente se concretó el 03/12/2024. El cumplimiento tardío no purga la mora ni borra los efectos económicos y extrapatrimoniales causados por el retardo. Por el contrario, confirma que el consumidor estuvo privado del bien durante un período sustancial, cuyo resarcimiento -bajo las reglas pactadas y del derecho del consumo- es exigible frente a todos los proveedores que integraron la operación, incluida la concesionaria que asumió frente al actor las gestiones y comunicaciones de entrega.</w:t>
      </w:r>
    </w:p>
    <w:p>
      <w:pPr>
        <w:pStyle w:val="[Normal]"/>
        <w:spacing w:line="360" w:lineRule="auto"/>
        <w:ind w:firstLine="1134"/>
        <w:jc w:val="both"/>
        <w:rPr>
          <w:lang w:val="es-AR" w:eastAsia="es-AR" w:bidi="es-AR"/>
        </w:rPr>
      </w:pPr>
      <w:r>
        <w:rPr>
          <w:lang w:val="es-AR" w:eastAsia="es-AR" w:bidi="es-AR"/>
        </w:rPr>
        <w:t xml:space="preserve">La tesis defensiva de Sauma -según la cual la penalidad por demora sería exclusiva de la administradora- tampoco prospera. Aún cuando el texto contractual señale la asunción directa de ese ítem por la administradora, ello no excluye la solidaridad propia de la cadena de consumo cuando, como aquí, la concesionaria participó en la concertación y ejecución del negocio y contribuyó causalmente al incumplimiento temporal al haber comprometido un plazo que no se cumplió. En estos casos, la regla protectoria impone que el consumidor no cargue con las fricciones internas del sistema de planes de ahorro, pudiendo reclamar a cualquiera de los sujetos que integran la relación de consumo; las eventuales acciones de repetición entre codemandadas quedan resguardadas para la etapa posterior (art. 40 LDC).</w:t>
      </w:r>
    </w:p>
    <w:p>
      <w:pPr>
        <w:pStyle w:val="[Normal]"/>
        <w:spacing w:line="360" w:lineRule="auto"/>
        <w:ind w:firstLine="1134"/>
        <w:jc w:val="both"/>
        <w:rPr>
          <w:lang w:val="es-AR" w:eastAsia="es-AR" w:bidi="es-AR"/>
        </w:rPr>
      </w:pPr>
      <w:r>
        <w:rPr>
          <w:lang w:val="es-AR" w:eastAsia="es-AR" w:bidi="es-AR"/>
        </w:rPr>
        <w:t xml:space="preserve">Finalmente, los argumentos de Sauma sobre la corrección de su obrar (“asesoramiento”, “respuestas” y “gestiones”) no neutralizan el dato objetivo relevante en clave consumeril: la no entrega en el plazo comprometido y el extenso retardo hasta la entrega efectiva. En ese marco, el a quo valoró correctamente que el incumplimiento temporal se verificó y atribuyó responsabilidad solidaria a administradora y concesionaria, solución que debe confirmarse. </w:t>
      </w:r>
    </w:p>
    <w:p>
      <w:pPr>
        <w:pStyle w:val="[Normal]"/>
        <w:spacing w:line="360" w:lineRule="auto"/>
        <w:ind w:firstLine="1134"/>
        <w:jc w:val="both"/>
        <w:rPr>
          <w:lang w:val="es-AR" w:eastAsia="es-AR" w:bidi="es-AR"/>
        </w:rPr>
      </w:pPr>
      <w:r>
        <w:rPr>
          <w:lang w:val="es-AR" w:eastAsia="es-AR" w:bidi="es-AR"/>
        </w:rPr>
        <w:t xml:space="preserve">Por todo lo dicho, el agravio de Sauma respecto de la indebida atribución de responsabilidad y su pretensión de exclusión de la solidaridad debe ser rechazado.</w:t>
      </w:r>
    </w:p>
    <w:p>
      <w:pPr>
        <w:pStyle w:val="[Normal]"/>
        <w:spacing w:line="360" w:lineRule="auto"/>
        <w:ind w:firstLine="1134"/>
        <w:jc w:val="both"/>
        <w:rPr>
          <w:lang w:val="es-AR" w:eastAsia="es-AR" w:bidi="es-AR"/>
        </w:rPr>
      </w:pPr>
      <w:r>
        <w:rPr>
          <w:lang w:val="es-AR" w:eastAsia="es-AR" w:bidi="es-AR"/>
        </w:rPr>
        <w:t xml:space="preserve">II.- Transitando al agravio vertido por ambas codemandadas con base en el alegado a</w:t>
      </w:r>
      <w:r>
        <w:rPr>
          <w:color w:val="000000"/>
          <w:lang w:val="es-AR" w:eastAsia="es-AR" w:bidi="es-AR"/>
        </w:rPr>
        <w:t xml:space="preserve">partamiento de la previsión contractual que estableció la cláusula penal por mora en la entrega como reparación exclusiva al reconocer daño moral y punitivo, he de mantenerme en el mismo temperamento adverso a la suerte de la apelación.</w:t>
      </w:r>
    </w:p>
    <w:p>
      <w:pPr>
        <w:pStyle w:val="[Normal]"/>
        <w:spacing w:line="360" w:lineRule="auto"/>
        <w:ind w:firstLine="1134"/>
        <w:jc w:val="both"/>
        <w:rPr>
          <w:lang w:val="es-AR" w:eastAsia="es-AR" w:bidi="es-AR"/>
        </w:rPr>
      </w:pPr>
      <w:r>
        <w:rPr>
          <w:lang w:val="es-AR" w:eastAsia="es-AR" w:bidi="es-AR"/>
        </w:rPr>
        <w:t xml:space="preserve">Esto se debe a que la cláusula penal pactada para la mora en la entrega fija un mecanismo resarcitorio patrimonial: calcula sobre el valor del bien al vencimiento del plazo y adiciona interés activo hasta la efectiva entrega. </w:t>
      </w:r>
    </w:p>
    <w:p>
      <w:pPr>
        <w:pStyle w:val="[Normal]"/>
        <w:spacing w:line="360" w:lineRule="auto"/>
        <w:ind w:firstLine="1134"/>
        <w:jc w:val="both"/>
        <w:rPr>
          <w:lang w:val="es-AR" w:eastAsia="es-AR" w:bidi="es-AR"/>
        </w:rPr>
      </w:pPr>
      <w:r>
        <w:rPr>
          <w:lang w:val="es-AR" w:eastAsia="es-AR" w:bidi="es-AR"/>
        </w:rPr>
        <w:t xml:space="preserve">En este sentido, la cláusula penal pactada en autos es compensatoria de la mora: está diseñada para preliquidar el impacto patrimonial intrínseco del retardo (esto es, el costo del tiempo) mediante una base objetiva -</w:t>
      </w:r>
      <w:r>
        <w:rPr>
          <w:i/>
          <w:lang w:val="es-AR" w:eastAsia="es-AR" w:bidi="es-AR"/>
        </w:rPr>
        <w:t xml:space="preserve">“valor del bien tipo vigente al vencimiento del plazo”</w:t>
      </w:r>
      <w:r>
        <w:rPr>
          <w:lang w:val="es-AR" w:eastAsia="es-AR" w:bidi="es-AR"/>
        </w:rPr>
        <w:t xml:space="preserve">- y la adición de interés activo hasta la efectiva entrega. </w:t>
      </w:r>
    </w:p>
    <w:p>
      <w:pPr>
        <w:pStyle w:val="[Normal]"/>
        <w:spacing w:line="360" w:lineRule="auto"/>
        <w:ind w:firstLine="1134"/>
        <w:jc w:val="both"/>
        <w:rPr>
          <w:lang w:val="es-AR" w:eastAsia="es-AR" w:bidi="es-AR"/>
        </w:rPr>
      </w:pPr>
      <w:r>
        <w:rPr>
          <w:lang w:val="es-AR" w:eastAsia="es-AR" w:bidi="es-AR"/>
        </w:rPr>
        <w:t xml:space="preserve">Su radio de acción se circunscribe, por tanto, al daño intrínseco y moratorio vinculado de modo directo e inmediato con la prestación principal (entrega en término), pero no a otras consecuencias extrínsecas que lo exceden (v.gr., afectaciones a la dignidad del consumidor o a su esfera existencial). </w:t>
      </w:r>
    </w:p>
    <w:p>
      <w:pPr>
        <w:pStyle w:val="[Normal]"/>
        <w:spacing w:line="360" w:lineRule="auto"/>
        <w:ind w:firstLine="1134"/>
        <w:jc w:val="both"/>
        <w:rPr>
          <w:lang w:val="es-AR" w:eastAsia="es-AR" w:bidi="es-AR"/>
        </w:rPr>
      </w:pPr>
      <w:r>
        <w:rPr>
          <w:lang w:val="es-AR" w:eastAsia="es-AR" w:bidi="es-AR"/>
        </w:rPr>
        <w:t xml:space="preserve">El propio planteo recursivo de la codemandada parte de esa construcción -invoca la regla del art. 793 CCyCN y postula que </w:t>
      </w:r>
      <w:r>
        <w:rPr>
          <w:i/>
          <w:lang w:val="es-AR" w:eastAsia="es-AR" w:bidi="es-AR"/>
        </w:rPr>
        <w:t xml:space="preserve">“lo único”</w:t>
      </w:r>
      <w:r>
        <w:rPr>
          <w:lang w:val="es-AR" w:eastAsia="es-AR" w:bidi="es-AR"/>
        </w:rPr>
        <w:t xml:space="preserve"> reclamable es la pena-, lo que confirma que la pena se concibió para el incumplimiento temporal y no como un blindaje frente a todo el cumulo de responsabilidades que rodea la relación de consumo.</w:t>
      </w:r>
    </w:p>
    <w:p>
      <w:pPr>
        <w:pStyle w:val="[Normal]"/>
        <w:spacing w:line="360" w:lineRule="auto"/>
        <w:ind w:firstLine="1134"/>
        <w:jc w:val="both"/>
        <w:rPr>
          <w:lang w:val="es-AR" w:eastAsia="es-AR" w:bidi="es-AR"/>
        </w:rPr>
      </w:pPr>
      <w:r>
        <w:rPr>
          <w:lang w:val="es-AR" w:eastAsia="es-AR" w:bidi="es-AR"/>
        </w:rPr>
        <w:t xml:space="preserve">Ahora bien, en contratos de consumo la prestación principal no agota las obligaciones del proveedor: existe un plexo obligacional complejo que incorpora deberes colaterales de fuente legal y de buena fe -entre otros, deber de información adecuada y veraz (art. 4 LDC), trato digno (art. 8 bis LDC) y colaboración y lealtad (arts. 9, 961 y 1061 CCyCN)-. </w:t>
      </w:r>
    </w:p>
    <w:p>
      <w:pPr>
        <w:pStyle w:val="[Normal]"/>
        <w:spacing w:line="360" w:lineRule="auto"/>
        <w:ind w:firstLine="1134"/>
        <w:jc w:val="both"/>
        <w:rPr>
          <w:lang w:val="es-AR" w:eastAsia="es-AR" w:bidi="es-AR"/>
        </w:rPr>
      </w:pPr>
      <w:r>
        <w:rPr>
          <w:lang w:val="es-AR" w:eastAsia="es-AR" w:bidi="es-AR"/>
        </w:rPr>
        <w:t xml:space="preserve">Esos deberes tienen autonomía funcional respecto de la obligación de entrega y su eventual inobservancia no queda absorbida por la cláusula penal compensatoria. Si el proveedor incumple esos deberes colaterales, las consecuencias extrínsecas (p.ej., zozobra, incertidumbre, frustración prolongada del consumo, degradación del trato) no se reparan con una fórmula financiera pensada para el valor-tiempo de la cosa.</w:t>
      </w:r>
    </w:p>
    <w:p>
      <w:pPr>
        <w:pStyle w:val="[Normal]"/>
        <w:spacing w:line="360" w:lineRule="auto"/>
        <w:ind w:firstLine="1134"/>
        <w:jc w:val="both"/>
        <w:rPr>
          <w:lang w:val="es-AR" w:eastAsia="es-AR" w:bidi="es-AR"/>
        </w:rPr>
      </w:pPr>
      <w:r>
        <w:rPr>
          <w:lang w:val="es-AR" w:eastAsia="es-AR" w:bidi="es-AR"/>
        </w:rPr>
        <w:t xml:space="preserve">Los antecedentes del caso exhiben, precisamente, un incumplimiento complejo: 1) la concesionaria comprometió un plazo cierto de entrega que venció el 17/12/2022, según comunicación propia (WhatsApp) que el a quo tuvo por acreditada; y 2) la entrega efectiva se materializó recién el 03/12/2024. Ese gran espacio temporal, unido a la fijación previa de expectativas por la vendedora, pone de manifiesto un obrar que no se reduce al mero retardo </w:t>
      </w:r>
      <w:r>
        <w:rPr>
          <w:i/>
          <w:lang w:val="es-AR" w:eastAsia="es-AR" w:bidi="es-AR"/>
        </w:rPr>
        <w:t xml:space="preserve">“neutral”</w:t>
      </w:r>
      <w:r>
        <w:rPr>
          <w:lang w:val="es-AR" w:eastAsia="es-AR" w:bidi="es-AR"/>
        </w:rPr>
        <w:t xml:space="preserve"> de la prestación, sino que impactó en la esfera del consumidor y tensionó deberes de información, coordinación y trato que integran la cadena de consumo (art. 3 y 4 de la LDC). Tales efectos extrínsecos justifican el reconocimiento del daño moral -por tratarse de un bien jurídico distinto, no patrimonial- sin “colisión” con la pena moratoria.</w:t>
      </w:r>
    </w:p>
    <w:p>
      <w:pPr>
        <w:pStyle w:val="[Normal]"/>
        <w:spacing w:line="360" w:lineRule="auto"/>
        <w:ind w:firstLine="1134"/>
        <w:jc w:val="both"/>
        <w:rPr>
          <w:lang w:val="es-AR" w:eastAsia="es-AR" w:bidi="es-AR"/>
        </w:rPr>
      </w:pPr>
      <w:r>
        <w:rPr>
          <w:lang w:val="es-AR" w:eastAsia="es-AR" w:bidi="es-AR"/>
        </w:rPr>
        <w:t xml:space="preserve">En igual dirección, el daño punitivo (art. 52 bis LDC) no es un resarcimiento patrimonial -que sí puede quedar sustituido por la pena- sino una sanción civil de orden público con finalidad disuasiva. Su procedencia se vincula a la gravedad del obrar del proveedor y a la necesidad de desaliento: por definición, no es convencional ni está disponible por las partes, de modo que una cláusula penal compensatoria no puede </w:t>
      </w:r>
      <w:r>
        <w:rPr>
          <w:i/>
          <w:lang w:val="es-AR" w:eastAsia="es-AR" w:bidi="es-AR"/>
        </w:rPr>
        <w:t xml:space="preserve">“neutralizar”</w:t>
      </w:r>
      <w:r>
        <w:rPr>
          <w:lang w:val="es-AR" w:eastAsia="es-AR" w:bidi="es-AR"/>
        </w:rPr>
        <w:t xml:space="preserve"> la potestad judicial de imponer la multa civil cuando el plexo obligacional consumeril ha sido inobservado. Sostener lo contrario importaría permitir que un acuerdo predispuesto vacíe garantías legales indeclinables (arts. 3, 37 y 65 LDC).</w:t>
      </w:r>
    </w:p>
    <w:p>
      <w:pPr>
        <w:pStyle w:val="[Normal]"/>
        <w:spacing w:line="360" w:lineRule="auto"/>
        <w:ind w:firstLine="1134"/>
        <w:jc w:val="both"/>
        <w:rPr>
          <w:lang w:val="es-AR" w:eastAsia="es-AR" w:bidi="es-AR"/>
        </w:rPr>
      </w:pPr>
      <w:r>
        <w:rPr>
          <w:lang w:val="es-AR" w:eastAsia="es-AR" w:bidi="es-AR"/>
        </w:rPr>
        <w:t xml:space="preserve">En suma: 1) la cláusula penal sustituye el daño intrínseco y moratorio del retardo, pero no las consecuencias extrínsecas derivadas de la violación de deberes colaterales (información, trato digno, colaboración). 2) Los antecedentes concretos muestran un incumplimiento que excede el simple retraso cuantificable financieramente y que lesiona ese conjunto de deberes; y 3) el daño moral y el daño punitivo operan en planos distintos (protección de la persona y sanción disuasiva), por lo que no colisionan con la pena compensatoria ni quedan absorbidos por ella. </w:t>
      </w:r>
    </w:p>
    <w:p>
      <w:pPr>
        <w:pStyle w:val="[Normal]"/>
        <w:spacing w:line="360" w:lineRule="auto"/>
        <w:ind w:firstLine="1134"/>
        <w:jc w:val="both"/>
        <w:rPr>
          <w:lang w:val="es-AR" w:eastAsia="es-AR" w:bidi="es-AR"/>
        </w:rPr>
      </w:pPr>
      <w:r>
        <w:rPr>
          <w:lang w:val="es-AR" w:eastAsia="es-AR" w:bidi="es-AR"/>
        </w:rPr>
        <w:t xml:space="preserve">Por estas razones, el agravio debe desestimarse y confirmarse la compatibilidad entre la cláusula penal y la condena por daño moral y punitivo.</w:t>
      </w:r>
    </w:p>
    <w:p>
      <w:pPr>
        <w:pStyle w:val="[Normal]"/>
        <w:spacing w:line="360" w:lineRule="auto"/>
        <w:ind w:firstLine="1134"/>
        <w:jc w:val="both"/>
        <w:rPr>
          <w:lang w:val="es-AR" w:eastAsia="es-AR" w:bidi="es-AR"/>
        </w:rPr>
      </w:pPr>
      <w:r>
        <w:rPr>
          <w:lang w:val="es-AR" w:eastAsia="es-AR" w:bidi="es-AR"/>
        </w:rPr>
        <w:t xml:space="preserve">III. Ingresando al tratamiento del agravio expresado por la parte actora en relación a la alegada desactualización del valor base de la multa contractual, he de proponer la no recepción de la crítica planteada.</w:t>
      </w:r>
    </w:p>
    <w:p>
      <w:pPr>
        <w:pStyle w:val="[Normal]"/>
        <w:spacing w:line="360" w:lineRule="auto"/>
        <w:ind w:firstLine="1134"/>
        <w:jc w:val="both"/>
        <w:rPr>
          <w:lang w:val="es-AR" w:eastAsia="es-AR" w:bidi="es-AR"/>
        </w:rPr>
      </w:pPr>
      <w:r>
        <w:rPr>
          <w:lang w:val="es-AR" w:eastAsia="es-AR" w:bidi="es-AR"/>
        </w:rPr>
        <w:t xml:space="preserve">En el marco fáctico y contractual de autos, la propia cláusula penal invocada por el actor -transcripta por el a quo- fija con precisión la base de cálculo: </w:t>
      </w:r>
      <w:r>
        <w:rPr>
          <w:i/>
          <w:lang w:val="es-AR" w:eastAsia="es-AR" w:bidi="es-AR"/>
        </w:rPr>
        <w:t xml:space="preserve">“el valor del bien tipo vigente al vencimiento del plazo de entrega”</w:t>
      </w:r>
      <w:r>
        <w:rPr>
          <w:lang w:val="es-AR" w:eastAsia="es-AR" w:bidi="es-AR"/>
        </w:rPr>
        <w:t xml:space="preserve">, aplicando desde entonces la tasa activa del Banco Nación para operaciones comerciales hasta la efectiva entrega. Ese es el plan indemnizatorio que las partes pactaron y que el juez de grado respetó. Pretender ahora sustituirlo por el </w:t>
      </w:r>
      <w:r>
        <w:rPr>
          <w:i/>
          <w:lang w:val="es-AR" w:eastAsia="es-AR" w:bidi="es-AR"/>
        </w:rPr>
        <w:t xml:space="preserve">“valor al momento del cumplimiento”</w:t>
      </w:r>
      <w:r>
        <w:rPr>
          <w:lang w:val="es-AR" w:eastAsia="es-AR" w:bidi="es-AR"/>
        </w:rPr>
        <w:t xml:space="preserve"> importa reformular la convención sin pedir ni demostrar su invalidez (arts. 958, 961 y 963 CCyCN), ni la existencia de abuso o lesión que habilite su desplazamiento.</w:t>
      </w:r>
    </w:p>
    <w:p>
      <w:pPr>
        <w:pStyle w:val="[Normal]"/>
        <w:spacing w:line="360" w:lineRule="auto"/>
        <w:ind w:firstLine="1134"/>
        <w:jc w:val="both"/>
        <w:rPr>
          <w:lang w:val="es-AR" w:eastAsia="es-AR" w:bidi="es-AR"/>
        </w:rPr>
      </w:pPr>
      <w:r>
        <w:rPr>
          <w:lang w:val="es-AR" w:eastAsia="es-AR" w:bidi="es-AR"/>
        </w:rPr>
        <w:t xml:space="preserve">Además, la cláusula penal suple la indemnización por daños moratorios derivados del incumplimiento (art. 793 CCyCN) y delimita normativamente el quantum: no hay espacio entonces para una acumulación encubierta vía </w:t>
      </w:r>
      <w:r>
        <w:rPr>
          <w:i/>
          <w:lang w:val="es-AR" w:eastAsia="es-AR" w:bidi="es-AR"/>
        </w:rPr>
        <w:t xml:space="preserve">“actualización de la base”</w:t>
      </w:r>
      <w:r>
        <w:rPr>
          <w:lang w:val="es-AR" w:eastAsia="es-AR" w:bidi="es-AR"/>
        </w:rPr>
        <w:t xml:space="preserve"> que, sumada a intereses activos hasta la entrega, produciría un doble resarcimiento por el mismo retardo. El esquema elegido ya incorpora un mecanismo de conservación del crédito (tasa activa sobre el valor al vencimiento), suficiente para preservar el contenido económico de la prestación durante el período de mora, sin que corresponda agregar una revalorización adicional de la base.</w:t>
      </w:r>
    </w:p>
    <w:p>
      <w:pPr>
        <w:pStyle w:val="[Normal]"/>
        <w:spacing w:line="360" w:lineRule="auto"/>
        <w:ind w:firstLine="1134"/>
        <w:jc w:val="both"/>
        <w:rPr>
          <w:lang w:val="es-AR" w:eastAsia="es-AR" w:bidi="es-AR"/>
        </w:rPr>
      </w:pPr>
      <w:r>
        <w:rPr>
          <w:lang w:val="es-AR" w:eastAsia="es-AR" w:bidi="es-AR"/>
        </w:rPr>
        <w:t xml:space="preserve">Tampoco puede desconocerse que, en la propia demanda, el actor reclamó la aplicación de los </w:t>
      </w:r>
      <w:r>
        <w:rPr>
          <w:i/>
          <w:lang w:val="es-AR" w:eastAsia="es-AR" w:bidi="es-AR"/>
        </w:rPr>
        <w:t xml:space="preserve">“intereses y perjuicios pactados” </w:t>
      </w:r>
      <w:r>
        <w:rPr>
          <w:lang w:val="es-AR" w:eastAsia="es-AR" w:bidi="es-AR"/>
        </w:rPr>
        <w:t xml:space="preserve">en el contrato de adhesión; esto es, asumió como pauta la fórmula convenida y no otro parámetro. El a quo se ciñó a ese marco de debate y a la literalidad de la cláusula, razonamiento que, lejos de desnaturalizar la reparación, materializa lo que las partes quisieron: una pena calculada sobre el valor al vencimiento, con intereses activos hasta la entrega. Cambiar ahora el anclaje temporal de la base supondría desconocer la congruencia con lo pedido y decidido en la instancia anterior.</w:t>
      </w:r>
    </w:p>
    <w:p>
      <w:pPr>
        <w:pStyle w:val="[Normal]"/>
        <w:spacing w:line="360" w:lineRule="auto"/>
        <w:ind w:firstLine="1134"/>
        <w:jc w:val="both"/>
        <w:rPr>
          <w:lang w:val="es-AR" w:eastAsia="es-AR" w:bidi="es-AR"/>
        </w:rPr>
      </w:pPr>
      <w:r>
        <w:rPr>
          <w:lang w:val="es-AR" w:eastAsia="es-AR" w:bidi="es-AR"/>
        </w:rPr>
        <w:t xml:space="preserve">A mayor abundamiento, el agravio resulta extemporáneo: la alegada </w:t>
      </w:r>
      <w:r>
        <w:rPr>
          <w:i/>
          <w:lang w:val="es-AR" w:eastAsia="es-AR" w:bidi="es-AR"/>
        </w:rPr>
        <w:t xml:space="preserve">“necesidad de actualización de la base”</w:t>
      </w:r>
      <w:r>
        <w:rPr>
          <w:lang w:val="es-AR" w:eastAsia="es-AR" w:bidi="es-AR"/>
        </w:rPr>
        <w:t xml:space="preserve"> no fue articulada oportunamente ante el juez de primera instancia. Introducirla por vez primera en alzada vulnera los principios de preclusión y congruencia (arts. 34 inc. 4, 163 inc. 6 y 272 CPCCBA), pues la Cámara no puede abrir el debate sobre cuestiones no sometidas al contradictorio ni consideradas por el a quo. La revisión se limita a lo que fue materia de agravio concreto y oportuno, no a introducir un criterio totalmente nuevo.</w:t>
      </w:r>
    </w:p>
    <w:p>
      <w:pPr>
        <w:pStyle w:val="[Normal]"/>
        <w:spacing w:line="360" w:lineRule="auto"/>
        <w:ind w:firstLine="1134"/>
        <w:jc w:val="both"/>
        <w:rPr>
          <w:color w:val="000000"/>
          <w:lang w:val="es-AR" w:eastAsia="es-AR" w:bidi="es-AR"/>
        </w:rPr>
      </w:pPr>
      <w:r>
        <w:rPr>
          <w:color w:val="000000"/>
          <w:lang w:val="es-AR" w:eastAsia="es-AR" w:bidi="es-AR"/>
        </w:rPr>
        <w:t xml:space="preserve">Este Tribunal ha señalado reiteradamente el procedimiento civil es un procedimiento escrito, en el que la ley prescribe un orden taxativo, señalando distintas fases preclusivas, que se desarrollan en forma sucesiva y concatenada, en el que impera el principio dispositivo, por el cual se confía a la actividad particular de los litigantes el estímulo de la función jurisdiccional.   Rige también el principio de preclusión procesal que ha sido definido como </w:t>
      </w:r>
      <w:r>
        <w:rPr>
          <w:i/>
          <w:color w:val="000000"/>
          <w:lang w:val="es-AR" w:eastAsia="es-AR" w:bidi="es-AR"/>
        </w:rPr>
        <w:t xml:space="preserve">"la pérdida de una facultad procesal por haberse llegado a los límites fijados por la ley para el ejercicio de esta facultad en el juicio o en una fase del juicio"</w:t>
      </w:r>
      <w:r>
        <w:rPr>
          <w:color w:val="000000"/>
          <w:lang w:val="es-AR" w:eastAsia="es-AR" w:bidi="es-AR"/>
        </w:rPr>
        <w:t xml:space="preserve">. 	(Cámara de Apelaciones en lo Civil y Comercial , autos N° 1478-12, "ELIAS, JAVIER C/ VALDES, EDUARDO S/ COBRO SUMARIO", 20/3/2013).	</w:t>
        <w:br w:type="textWrapping"/>
      </w:r>
      <w:r>
        <w:rPr>
          <w:color w:val="000000"/>
          <w:lang w:val="es-AR" w:eastAsia="es-AR" w:bidi="es-AR"/>
        </w:rPr>
        <w:t xml:space="preserve"> 	En la materia ha dicho la SCBA que </w:t>
      </w:r>
      <w:r>
        <w:rPr>
          <w:i/>
          <w:color w:val="000000"/>
          <w:lang w:val="es-AR" w:eastAsia="es-AR" w:bidi="es-AR"/>
        </w:rPr>
        <w:t xml:space="preserve">"las etapas de un proceso se desarrollan en forma concatenada y sucesiva donde concluyendo cada una el pase a la siguiente permite su avance, impidiendo regresar sobre pasos superados"</w:t>
      </w:r>
      <w:r>
        <w:rPr>
          <w:color w:val="000000"/>
          <w:lang w:val="es-AR" w:eastAsia="es-AR" w:bidi="es-AR"/>
        </w:rPr>
        <w:t xml:space="preserve"> (SCBA, B 65769 I 10-9-2008, JUBA B95402). Así, </w:t>
      </w:r>
      <w:r>
        <w:rPr>
          <w:i/>
          <w:color w:val="000000"/>
          <w:lang w:val="es-AR" w:eastAsia="es-AR" w:bidi="es-AR"/>
        </w:rPr>
        <w:t xml:space="preserve">"transcurrida la oportunidad, la etapa del juicio se clausura y se pasa a la subsiguiente, tal como si una especie de compuerta se cerrara tras los actos impidiendo su regreso"</w:t>
      </w:r>
      <w:r>
        <w:rPr>
          <w:color w:val="000000"/>
          <w:lang w:val="es-AR" w:eastAsia="es-AR" w:bidi="es-AR"/>
        </w:rPr>
        <w:t xml:space="preserve"> (CC0201 LP 112488 RSD-47-10 S 20-4-2010, B257459; CC0102 MP 143872 RSD-252-10 S 7-9-2010,B1404600).</w:t>
      </w:r>
    </w:p>
    <w:p>
      <w:pPr>
        <w:pStyle w:val="[Normal]"/>
        <w:spacing w:line="360" w:lineRule="auto"/>
        <w:ind w:firstLine="1134"/>
        <w:jc w:val="both"/>
        <w:rPr>
          <w:color w:val="000000"/>
          <w:lang w:val="es-AR" w:eastAsia="es-AR" w:bidi="es-AR"/>
        </w:rPr>
      </w:pPr>
      <w:r>
        <w:rPr>
          <w:color w:val="000000"/>
          <w:lang w:val="es-AR" w:eastAsia="es-AR" w:bidi="es-AR"/>
        </w:rPr>
        <w:t xml:space="preserve">Asimismo, los poderes de la jurisdicción de la Alzada quedan enmarcados dentro de las dos grandes vertientes que ofrecen el postulado de congruencia, por un lado y el sistema dispositivo por el otro. En tal sentido, las potestades sufren en principio una doble limitación: la que resulta de la relación procesal que aparece con la demanda y contestación -congruencia- y la que el apelante haya querido imponerle en el recurso -dispositivo-. Quedan marginados de esta jurisdicción los capítulos no propuestos a su conocimiento (Morello, Sosa, Berizonce, "Códigos Procesales ....", Tº III, Bs. As. 1988, pág. 400 y ss). Los tribunales de apelación no pueden fallar sobre puntos o capítulos no propuestos a decisión del juez de primera instancia (art.272, C.P.C.C., SCBA, Ac 75831 S 13-12-2000, AC 79725 S 19-2-2002, C 100263 S 24-8-2011, B20000).</w:t>
      </w:r>
    </w:p>
    <w:p>
      <w:pPr>
        <w:pStyle w:val="[Normal]"/>
        <w:spacing w:line="360" w:lineRule="auto"/>
        <w:ind w:firstLine="1134"/>
        <w:jc w:val="both"/>
        <w:rPr>
          <w:lang w:val="es-AR" w:eastAsia="es-AR" w:bidi="es-AR"/>
        </w:rPr>
      </w:pPr>
      <w:r>
        <w:rPr>
          <w:lang w:val="es-AR" w:eastAsia="es-AR" w:bidi="es-AR"/>
        </w:rPr>
        <w:t xml:space="preserve">Resta añadir que, sobre la base expuesta, no resulta aplicable la doctrina legal que el apelante pretende extraer del precedente </w:t>
      </w:r>
      <w:r>
        <w:rPr>
          <w:i/>
          <w:lang w:val="es-AR" w:eastAsia="es-AR" w:bidi="es-AR"/>
        </w:rPr>
        <w:t xml:space="preserve">“Barrios”</w:t>
      </w:r>
      <w:r>
        <w:rPr>
          <w:lang w:val="es-AR" w:eastAsia="es-AR" w:bidi="es-AR"/>
        </w:rPr>
        <w:t xml:space="preserve">. Aun prescindiendo de su concreta materia, el estándar de la SCBA sobre deudas de valor -que habilita, en contextos resarcitorios, cuantificar a valores actuales o diferir la conversión a etapa ejecutoria- parte de la ausencia de convención cerrada sobre el quantum y de la necesidad de traducir un valor económico a dinero. Aquí ocurre lo contrario: el quantum está pactado con tiempo definido (vencimiento) y mecanismo financiero de conservación (interés activo), por lo que esa doctrina -construida para deudas de valor- no traslada a una pena convencional ya fijada por las partes.</w:t>
      </w:r>
    </w:p>
    <w:p>
      <w:pPr>
        <w:pStyle w:val="[Normal]"/>
        <w:spacing w:line="360" w:lineRule="auto"/>
        <w:ind w:firstLine="1134"/>
        <w:jc w:val="both"/>
        <w:rPr>
          <w:lang w:val="es-AR" w:eastAsia="es-AR" w:bidi="es-AR"/>
        </w:rPr>
      </w:pPr>
      <w:r>
        <w:rPr>
          <w:lang w:val="es-AR" w:eastAsia="es-AR" w:bidi="es-AR"/>
        </w:rPr>
        <w:t xml:space="preserve">Por todo lo dicho, no se verifica error de derecho ni desajuste lógico en la sentencia que aplicó la cláusula penal según su tenor literal y finalidad. La autonomía negocial, la regla del art. 793 CCyCN y las garantías procesales de congruencia conducen a desestimar el agravio y confirmar el criterio del a quo respecto del valor-base al vencimiento y los intereses activos hasta la entrega.</w:t>
      </w:r>
    </w:p>
    <w:p>
      <w:pPr>
        <w:pStyle w:val="[Normal]"/>
        <w:spacing w:line="360" w:lineRule="auto"/>
        <w:ind w:firstLine="1134"/>
        <w:jc w:val="both"/>
        <w:rPr>
          <w:lang w:val="es-AR" w:eastAsia="es-AR" w:bidi="es-AR"/>
        </w:rPr>
      </w:pPr>
      <w:r>
        <w:rPr>
          <w:lang w:val="es-AR" w:eastAsia="es-AR" w:bidi="es-AR"/>
        </w:rPr>
        <w:t xml:space="preserve">IV. Seguidamente, me ocuparé del agravio relativo al daño moral que fuera planteado por todas las partes litigantes. Entiendo que ninguna de los planteos impugnativos resultan suficientes para conmover el sentido de lo decidido.</w:t>
      </w:r>
    </w:p>
    <w:p>
      <w:pPr>
        <w:pStyle w:val="[Normal]"/>
        <w:spacing w:line="360" w:lineRule="auto"/>
        <w:ind w:firstLine="1134"/>
        <w:jc w:val="both"/>
        <w:rPr>
          <w:lang w:val="es-AR" w:eastAsia="es-AR" w:bidi="es-AR"/>
        </w:rPr>
      </w:pPr>
      <w:r>
        <w:rPr>
          <w:lang w:val="es-AR" w:eastAsia="es-AR" w:bidi="es-AR"/>
        </w:rPr>
        <w:t xml:space="preserve">En relación a la crítica esbozada por las partes codemandadas, he de señalar que en relaciones de consumo el daño moral no exige, para su reconocimiento, una prueba directa: basta un haz de presunciones graves, precisas y concordantes derivadas del propio iter contractual y del modo en que se afectó la esfera existencial del usuario. 	</w:t>
      </w:r>
    </w:p>
    <w:p>
      <w:pPr>
        <w:pStyle w:val="[Normal]"/>
        <w:spacing w:line="360" w:lineRule="auto"/>
        <w:ind w:firstLine="1134"/>
        <w:jc w:val="both"/>
        <w:rPr>
          <w:lang w:val="es-AR" w:eastAsia="es-AR" w:bidi="es-AR"/>
        </w:rPr>
      </w:pPr>
      <w:r>
        <w:rPr>
          <w:lang w:val="es-AR" w:eastAsia="es-AR" w:bidi="es-AR"/>
        </w:rPr>
        <w:t xml:space="preserve">En el caso y tratándose de una cuestión derivada de una relación de consumo el incumplimiento de la accionada conlleva </w:t>
      </w:r>
      <w:r>
        <w:rPr>
          <w:i/>
          <w:lang w:val="es-AR" w:eastAsia="es-AR" w:bidi="es-AR"/>
        </w:rPr>
        <w:t xml:space="preserve">"per se" </w:t>
      </w:r>
      <w:r>
        <w:rPr>
          <w:lang w:val="es-AR" w:eastAsia="es-AR" w:bidi="es-AR"/>
        </w:rPr>
        <w:t xml:space="preserve">la presunción de molestias, incomodidades, aflicciones padecidas por la actora (arts. 1, 2, 3, 4, 5, 6, 8, 8bis, 10 bis, 13, 17, 18, 37, 38, 40 y concs. L.D.C.; arts. 1066, 1067, 1078, 1083 y concs. Cód. Civ.; art. 1741 y concs. CCCN; este Tribunal, causa nº 62.827, 05/06/2018, “Barcelonna, María Paula y otro/a vs. Naldo Lombardi S.A. y otro/a s. Daños y perjuicios”).</w:t>
      </w:r>
    </w:p>
    <w:p>
      <w:pPr>
        <w:pStyle w:val="[Normal]"/>
        <w:spacing w:line="360" w:lineRule="auto"/>
        <w:ind w:firstLine="1134"/>
        <w:jc w:val="both"/>
        <w:rPr>
          <w:lang w:val="es-AR" w:eastAsia="es-AR" w:bidi="es-AR"/>
        </w:rPr>
      </w:pPr>
      <w:r>
        <w:rPr>
          <w:lang w:val="es-AR" w:eastAsia="es-AR" w:bidi="es-AR"/>
        </w:rPr>
        <w:t xml:space="preserve">En esta línea, la jurisprudencia del Máximo tribunal bonaerense, si bien no desconoce la aplicación restrictiva del daño moral en materia contractual, no ha vacilado en relativizar tal criterio en los últimos tiempos cuando se trata de relaciones de consumo, y así se ha entendido que se debe aplicar un criterio flexible, ya que están en juego los derechos del consumidor, objeto de especial tutela en nuestro régimen constitucional (esta Sala causa nro. 117.024 del 18/12/2018; SCBA LP 115486 S 30/09/2014, CC0002 AZ 62827 85 S 05/06/2018, CC0201 LP 120537 rsd 286/16 S 25/10/201, CC0102 MP 161454 263-S S 03/11/2016, CC0002 QL 16462 113/15 S 07/08/2015, CC0002 QL 16312 49/15 S 16/04/2015, CC0001 LM 213 RSD-25- S 09/09/2004; JUBA; Farina, Juan M., “Defensa del consumidor y del usuario”, Astrea, 2008, p. 481, con cita de C.N.Civ. y Com. Fed., Sala III, 19/02/08, “Borlenghi c. Cubana de Aviación”).-</w:t>
      </w:r>
    </w:p>
    <w:p>
      <w:pPr>
        <w:pStyle w:val="[Normal]"/>
        <w:spacing w:line="360" w:lineRule="auto"/>
        <w:ind w:firstLine="1134"/>
        <w:jc w:val="both"/>
        <w:rPr>
          <w:lang w:val="es-AR" w:eastAsia="es-AR" w:bidi="es-AR"/>
        </w:rPr>
      </w:pPr>
      <w:r>
        <w:rPr>
          <w:lang w:val="es-AR" w:eastAsia="es-AR" w:bidi="es-AR"/>
        </w:rPr>
        <w:t xml:space="preserve">Al margen de lo expuesto, es menester añadir que el a quo motivó adecuadamente el rubro, dentro de un contexto donde la concesionaria y la administradora comprometieron una fecha cierta de entrega, incumplieron ese hito y prolongaron la privación del bien por un lapso ampliamente superior al previsible, configurando un cuadro objetivo de zozobra, frustración e incertidumbre incompatible con el estándar tuitivo del derecho del consumidor.  La mera invocación de que </w:t>
      </w:r>
      <w:r>
        <w:rPr>
          <w:i/>
          <w:lang w:val="es-AR" w:eastAsia="es-AR" w:bidi="es-AR"/>
        </w:rPr>
        <w:t xml:space="preserve">“en materia contractual el perjuicio extrapatrimonial no se presume” </w:t>
      </w:r>
      <w:r>
        <w:rPr>
          <w:lang w:val="es-AR" w:eastAsia="es-AR" w:bidi="es-AR"/>
        </w:rPr>
        <w:t xml:space="preserve">no desarma ese andamiaje probatorio cuando los hechos revelan una lesión extrínseca a la mera pérdida de valor por el tiempo.</w:t>
      </w:r>
    </w:p>
    <w:p>
      <w:pPr>
        <w:pStyle w:val="[Normal]"/>
        <w:spacing w:line="360" w:lineRule="auto"/>
        <w:ind w:firstLine="1134"/>
        <w:jc w:val="both"/>
        <w:rPr>
          <w:lang w:val="es-AR" w:eastAsia="es-AR" w:bidi="es-AR"/>
        </w:rPr>
      </w:pPr>
      <w:r>
        <w:rPr>
          <w:lang w:val="es-AR" w:eastAsia="es-AR" w:bidi="es-AR"/>
        </w:rPr>
        <w:t xml:space="preserve">Los antecedentes del caso son elocuentes: 1) la propia concesionaria comunicó que el plazo de entrega vencía el 17/12/2022 (mensaje de WhatsApp reputado en la instancia anterior), y 2) la entrega efectiva del vehículo recién se concretó el 03/12/2024. Ese hiato de casi dos años excede con holgura la demora tolerable y, por sí mismo, invade la esfera no patrimonial del consumidor: priva del uso del bien, frustra la finalidad del contrato y obliga a sostener gestiones y expectativas que se renuevan sin satisfacción. Tales datos fácticos, asentados en autos, son idóneos para tener por configurados los padecimientos extrapatrimoniales, aun sin confesiones o informes psicológicos específicos.</w:t>
      </w:r>
    </w:p>
    <w:p>
      <w:pPr>
        <w:pStyle w:val="[Normal]"/>
        <w:spacing w:line="360" w:lineRule="auto"/>
        <w:ind w:firstLine="1134"/>
        <w:jc w:val="both"/>
        <w:rPr>
          <w:lang w:val="es-AR" w:eastAsia="es-AR" w:bidi="es-AR"/>
        </w:rPr>
      </w:pPr>
      <w:r>
        <w:rPr>
          <w:lang w:val="es-AR" w:eastAsia="es-AR" w:bidi="es-AR"/>
        </w:rPr>
        <w:t xml:space="preserve">Tampoco puede prosperar la exorbitancia invocada. El quantum del daño moral es materia de prudente arbitrio judicial y se calibra según la entidad del retardo, la conducta de los proveedores, la frustración del proyecto de consumo, la duración de la incertidumbre y el contexto económico. Aquí, la suma fijada por el a quo aparece proporcional al cuadro verificado: un incumplimiento temporal prolongado, precedido por una promesa de entrega cierta y seguido de una efectiva privación de uso durante un lapso inusual. Todo ello justifica una reparación que no se confunde con la pena moratoria (que atiende al valor–tiempo) ni con la multa civil (que cumple una finalidad disuasiva distinta). En este marco, la crítica no demuestra desajuste notorio alguno respecto de los parámetros valorados en la instancia anterior.</w:t>
      </w:r>
    </w:p>
    <w:p>
      <w:pPr>
        <w:pStyle w:val="[Normal]"/>
        <w:spacing w:line="360" w:lineRule="auto"/>
        <w:ind w:firstLine="1134"/>
        <w:jc w:val="both"/>
        <w:rPr>
          <w:lang w:val="es-AR" w:eastAsia="es-AR" w:bidi="es-AR"/>
        </w:rPr>
      </w:pPr>
      <w:r>
        <w:rPr>
          <w:lang w:val="es-AR" w:eastAsia="es-AR" w:bidi="es-AR"/>
        </w:rPr>
        <w:t xml:space="preserve">Cabe recordar, además, que el juez de grado reconoció separadamente rubros de distinta naturaleza -entre ellos, el daño moral y el punitivo-, lo que revela un análisis diferenciado de los bienes jurídicos comprometidos y descarta que el daño moral haya sido usado para fines sancionatorios. Lejos de la </w:t>
      </w:r>
      <w:r>
        <w:rPr>
          <w:i/>
          <w:lang w:val="es-AR" w:eastAsia="es-AR" w:bidi="es-AR"/>
        </w:rPr>
        <w:t xml:space="preserve">“duplicación”</w:t>
      </w:r>
      <w:r>
        <w:rPr>
          <w:lang w:val="es-AR" w:eastAsia="es-AR" w:bidi="es-AR"/>
        </w:rPr>
        <w:t xml:space="preserve"> insinuada, la sentencia distingue planos: la cláusula penal resarce el aspecto patrimonial intrínseco del retardo; el daño moral repara la afectación espiritual derivada del modo en que se condujo la relación de consumo; el punitivo sanciona la conducta reprochable. Esa arquitectura fue claramente explicitada en el decisorio cuando se impuso, junto a la cláusula contractual, una suma comprensiva de daño moral y punitivo, con sus intereses y costas.</w:t>
      </w:r>
    </w:p>
    <w:p>
      <w:pPr>
        <w:pStyle w:val="[Normal]"/>
        <w:spacing w:line="360" w:lineRule="auto"/>
        <w:ind w:firstLine="1134"/>
        <w:jc w:val="both"/>
        <w:rPr>
          <w:lang w:val="es-AR" w:eastAsia="es-AR" w:bidi="es-AR"/>
        </w:rPr>
      </w:pPr>
      <w:r>
        <w:rPr>
          <w:lang w:val="es-AR" w:eastAsia="es-AR" w:bidi="es-AR"/>
        </w:rPr>
        <w:t xml:space="preserve">Para reforzar la procedencia del daño moral, destaco que la prueba testimonial rendida -valorada conforme los arts. 163 inc. 5 y 384 CPCCBA y 1738/1741 CCyC- aportó un cuadro persistente de reclamos, reprogramaciones y respuestas estandarizadas que excede las “molestias” propias de cualquier incumplimiento. Los deponentes describieron llamadas y gestiones reiteradas, trato desconsiderado y falta de información útil en momentos claves, todo ello durante un lapso prolongado que recién se cerró con la entrega del vehículo el 03/12/2024, hito que ni siquiera la concesionaria discute. Ese contexto objetivo permite inferir, con la seriedad que exige el estándar probatorio, padecimientos anímicos ciertos y no meras contrariedades.</w:t>
      </w:r>
    </w:p>
    <w:p>
      <w:pPr>
        <w:pStyle w:val="[Normal]"/>
        <w:spacing w:line="360" w:lineRule="auto"/>
        <w:ind w:firstLine="1134"/>
        <w:jc w:val="both"/>
        <w:rPr>
          <w:lang w:val="es-AR" w:eastAsia="es-AR" w:bidi="es-AR"/>
        </w:rPr>
      </w:pPr>
      <w:r>
        <w:rPr>
          <w:lang w:val="es-AR" w:eastAsia="es-AR" w:bidi="es-AR"/>
        </w:rPr>
        <w:t xml:space="preserve">Así, Salerno relató que el actor </w:t>
      </w:r>
      <w:r>
        <w:rPr>
          <w:i/>
          <w:lang w:val="es-AR" w:eastAsia="es-AR" w:bidi="es-AR"/>
        </w:rPr>
        <w:t xml:space="preserve">“estuvo 2 años sin vehículo”</w:t>
      </w:r>
      <w:r>
        <w:rPr>
          <w:lang w:val="es-AR" w:eastAsia="es-AR" w:bidi="es-AR"/>
        </w:rPr>
        <w:t xml:space="preserve"> pese a tener la entrega prevista para fin de año; que el viaje familiar a la Patagonia se frustró por la falta de unidad; que ello le generó inconvenientes laborales al no poder retirar mercaderías; y que lo veía </w:t>
      </w:r>
      <w:r>
        <w:rPr>
          <w:i/>
          <w:lang w:val="es-AR" w:eastAsia="es-AR" w:bidi="es-AR"/>
        </w:rPr>
        <w:t xml:space="preserve">“muy amargado y preocupado</w:t>
      </w:r>
      <w:r>
        <w:rPr>
          <w:lang w:val="es-AR" w:eastAsia="es-AR" w:bidi="es-AR"/>
        </w:rPr>
        <w:t xml:space="preserve">” por no saber si finalmente le entregarían el auto. Estas manifestaciones describen, en clave extrapatrimonial, angustia, frustración de un proyecto de vida y afectación de la rutina laboral, todo ello más allá del mero retardo económico que cubre la cláusula penal.</w:t>
      </w:r>
    </w:p>
    <w:p>
      <w:pPr>
        <w:pStyle w:val="[Normal]"/>
        <w:spacing w:line="360" w:lineRule="auto"/>
        <w:ind w:firstLine="1134"/>
        <w:jc w:val="both"/>
        <w:rPr>
          <w:lang w:val="es-AR" w:eastAsia="es-AR" w:bidi="es-AR"/>
        </w:rPr>
      </w:pPr>
      <w:r>
        <w:rPr>
          <w:lang w:val="es-AR" w:eastAsia="es-AR" w:bidi="es-AR"/>
        </w:rPr>
        <w:t xml:space="preserve">Por su lado, María Micaela Giménez precisó que el actor, dedicado a bordados, necesita movilidad para su trabajo; que debió manejarse en remís o con vehículos prestados; que su madre estaba muy enferma y los traslados se dificultaron; y que la entrega se demoró alrededor de dos años. El testimonio acredita, con datos concretos, privaciones y trastornos que exceden las “molestias” de cualquier incumplimiento ordinario y que razonablemente impactan en la esfera anímica del consumidor.</w:t>
      </w:r>
    </w:p>
    <w:p>
      <w:pPr>
        <w:pStyle w:val="[Normal]"/>
        <w:spacing w:line="360" w:lineRule="auto"/>
        <w:ind w:firstLine="1134"/>
        <w:jc w:val="both"/>
        <w:rPr>
          <w:lang w:val="es-AR" w:eastAsia="es-AR" w:bidi="es-AR"/>
        </w:rPr>
      </w:pPr>
      <w:r>
        <w:rPr>
          <w:lang w:val="es-AR" w:eastAsia="es-AR" w:bidi="es-AR"/>
        </w:rPr>
        <w:t xml:space="preserve">Por su parte, Ricardo Héctor Giménez corroboró la falta de vehículo por cerca de dos años, el uso de remís para suplir la movilidad y la necesidad de contratarle fletes por la imposibilidad de traslado propio, destacando el afectación que ello le generó al actor. Se trata de un relato convergente con los anteriores, que robustece el hilo causal entre el incumplimiento prolongado y una afectación extrapatrimonial concreta.</w:t>
      </w:r>
    </w:p>
    <w:p>
      <w:pPr>
        <w:pStyle w:val="[Normal]"/>
        <w:spacing w:line="360" w:lineRule="auto"/>
        <w:ind w:firstLine="1134"/>
        <w:jc w:val="both"/>
        <w:rPr>
          <w:lang w:val="es-AR" w:eastAsia="es-AR" w:bidi="es-AR"/>
        </w:rPr>
      </w:pPr>
      <w:r>
        <w:rPr>
          <w:lang w:val="es-AR" w:eastAsia="es-AR" w:bidi="es-AR"/>
        </w:rPr>
        <w:t xml:space="preserve">A ello se suma Del Valle, quien informó que el incumplimiento frustró un viaje familiar y obligó al actor a recurrir a remises para sostener su actividad de bordados, confirmando así la restricción de la vida cotidiana y la pérdida de autonomía funcional propias del daño moral. Esta trama testimonial coincide con la cronología objetiva del expediente (entrega efectivizada recién el 03/12/2024, reconocida por la propia concesionaria), de modo que la crítica de </w:t>
      </w:r>
      <w:r>
        <w:rPr>
          <w:i/>
          <w:lang w:val="es-AR" w:eastAsia="es-AR" w:bidi="es-AR"/>
        </w:rPr>
        <w:t xml:space="preserve">“falta de prueba” </w:t>
      </w:r>
      <w:r>
        <w:rPr>
          <w:lang w:val="es-AR" w:eastAsia="es-AR" w:bidi="es-AR"/>
        </w:rPr>
        <w:t xml:space="preserve">no se sostiene: existe apoyo directo y presuncional suficiente para tener por acreditado el daño moral y su cuantía aparece proporcionada al cuadro fáctico verificado.</w:t>
      </w:r>
    </w:p>
    <w:p>
      <w:pPr>
        <w:pStyle w:val="[Normal]"/>
        <w:spacing w:line="360" w:lineRule="auto"/>
        <w:ind w:firstLine="1134"/>
        <w:jc w:val="both"/>
        <w:rPr>
          <w:lang w:val="es-AR" w:eastAsia="es-AR" w:bidi="es-AR"/>
        </w:rPr>
      </w:pPr>
      <w:r>
        <w:rPr>
          <w:lang w:val="es-AR" w:eastAsia="es-AR" w:bidi="es-AR"/>
        </w:rPr>
        <w:t xml:space="preserve">Desde una perspectiva global, los testimonios fueron coincidentes en: 1) la dinámica de “promesas de inminencia” seguidas de nuevas dilaciones; 2) la necesidad del actor de reorganizar su vida cotidiana y trámites vinculados al uso del rodado; 3) respuestas evasivas o genéricas ante pedidos concretos de plazo y modo de entrega; y 4) el progresivo desgaste emocional producido por la incertidumbre. </w:t>
      </w:r>
    </w:p>
    <w:p>
      <w:pPr>
        <w:pStyle w:val="[Normal]"/>
        <w:spacing w:line="360" w:lineRule="auto"/>
        <w:ind w:firstLine="1134"/>
        <w:jc w:val="both"/>
        <w:rPr>
          <w:lang w:val="es-AR" w:eastAsia="es-AR" w:bidi="es-AR"/>
        </w:rPr>
      </w:pPr>
      <w:r>
        <w:rPr>
          <w:lang w:val="es-AR" w:eastAsia="es-AR" w:bidi="es-AR"/>
        </w:rPr>
        <w:t xml:space="preserve">Esta secuencia se integra con la propia admisión de la concesionaria de haber </w:t>
      </w:r>
      <w:r>
        <w:rPr>
          <w:i/>
          <w:lang w:val="es-AR" w:eastAsia="es-AR" w:bidi="es-AR"/>
        </w:rPr>
        <w:t xml:space="preserve">“brindado respuesta ante sus consultas respecto a la entrega”</w:t>
      </w:r>
      <w:r>
        <w:rPr>
          <w:lang w:val="es-AR" w:eastAsia="es-AR" w:bidi="es-AR"/>
        </w:rPr>
        <w:t xml:space="preserve">, lo que confirma, por vía de reconocimiento, la existencia de consultas/reclamos repetidos y la ausencia de una solución oportuna.</w:t>
      </w:r>
    </w:p>
    <w:p>
      <w:pPr>
        <w:pStyle w:val="[Normal]"/>
        <w:spacing w:line="360" w:lineRule="auto"/>
        <w:ind w:firstLine="1134"/>
        <w:jc w:val="both"/>
        <w:rPr>
          <w:lang w:val="es-AR" w:eastAsia="es-AR" w:bidi="es-AR"/>
        </w:rPr>
      </w:pPr>
      <w:r>
        <w:rPr>
          <w:lang w:val="es-AR" w:eastAsia="es-AR" w:bidi="es-AR"/>
        </w:rPr>
        <w:t xml:space="preserve">Tampoco advierto que la apelación de la concesionaria haya desvirtuado esas deposiciones: su agravio se limita a afirmar que el a quo </w:t>
      </w:r>
      <w:r>
        <w:rPr>
          <w:i/>
          <w:lang w:val="es-AR" w:eastAsia="es-AR" w:bidi="es-AR"/>
        </w:rPr>
        <w:t xml:space="preserve">“tuvo en cuenta únicamente el relato del Actor”</w:t>
      </w:r>
      <w:r>
        <w:rPr>
          <w:lang w:val="es-AR" w:eastAsia="es-AR" w:bidi="es-AR"/>
        </w:rPr>
        <w:t xml:space="preserve"> y que </w:t>
      </w:r>
      <w:r>
        <w:rPr>
          <w:i/>
          <w:lang w:val="es-AR" w:eastAsia="es-AR" w:bidi="es-AR"/>
        </w:rPr>
        <w:t xml:space="preserve">“no se probó”</w:t>
      </w:r>
      <w:r>
        <w:rPr>
          <w:lang w:val="es-AR" w:eastAsia="es-AR" w:bidi="es-AR"/>
        </w:rPr>
        <w:t xml:space="preserve"> el sufrimiento extrapatrimonial, sin dirigir una crítica concreta a la credibilidad, coherencia o concordancia de los testimonios valorados por el juez de grado. Esa orfandad argumental impide restarles fuerza convictiva (arts. 260 y 261 CPCCBA).</w:t>
      </w:r>
    </w:p>
    <w:p>
      <w:pPr>
        <w:pStyle w:val="[Normal]"/>
        <w:spacing w:line="360" w:lineRule="auto"/>
        <w:ind w:firstLine="1134"/>
        <w:jc w:val="both"/>
        <w:rPr>
          <w:lang w:val="es-AR" w:eastAsia="es-AR" w:bidi="es-AR"/>
        </w:rPr>
      </w:pPr>
      <w:r>
        <w:rPr>
          <w:lang w:val="es-AR" w:eastAsia="es-AR" w:bidi="es-AR"/>
        </w:rPr>
        <w:t xml:space="preserve">Finalmente, la corroboración cruzada entre testimonios y documental -reclamos, comunicaciones y constancias de la dilación- robustece la conclusión de que el incumplimiento prolongado lesionó bienes de la personalidad del actor (art. 1738 CCyC), por lo que corresponde mantener el reconocimiento del daño moral.</w:t>
      </w:r>
    </w:p>
    <w:p>
      <w:pPr>
        <w:pStyle w:val="[Normal]"/>
        <w:spacing w:line="360" w:lineRule="auto"/>
        <w:ind w:firstLine="1134"/>
        <w:jc w:val="both"/>
        <w:rPr>
          <w:lang w:val="es-AR" w:eastAsia="es-AR" w:bidi="es-AR"/>
        </w:rPr>
      </w:pPr>
      <w:r>
        <w:rPr>
          <w:lang w:val="es-AR" w:eastAsia="es-AR" w:bidi="es-AR"/>
        </w:rPr>
        <w:t xml:space="preserve">En síntesis, 1) existe sustento fáctico suficiente para tener por acreditado el daño moral a través de presunciones judiciales robustas; 2) la duración y modalidad del incumplimiento justifican el reconocimiento del rubro; y 3) la cuantía fijada no exhibe exceso manifiesto frente a los criterios de ponderación propios del fuero consumeril. </w:t>
      </w:r>
    </w:p>
    <w:p>
      <w:pPr>
        <w:pStyle w:val="[Normal]"/>
        <w:spacing w:line="360" w:lineRule="auto"/>
        <w:ind w:firstLine="1134"/>
        <w:jc w:val="both"/>
        <w:rPr>
          <w:lang w:val="es-AR" w:eastAsia="es-AR" w:bidi="es-AR"/>
        </w:rPr>
      </w:pPr>
      <w:r>
        <w:rPr>
          <w:lang w:val="es-AR" w:eastAsia="es-AR" w:bidi="es-AR"/>
        </w:rPr>
        <w:t xml:space="preserve">En lo relativo a la crítica actoral sobre el punto en cuestión, considero que tampoco resulta atendible el agravio que por el extremo argumental contrario que pretende traer la accionante.</w:t>
      </w:r>
    </w:p>
    <w:p>
      <w:pPr>
        <w:pStyle w:val="[Normal]"/>
        <w:spacing w:line="360" w:lineRule="auto"/>
        <w:ind w:firstLine="1134"/>
        <w:jc w:val="both"/>
        <w:rPr>
          <w:lang w:val="es-AR" w:eastAsia="es-AR" w:bidi="es-AR"/>
        </w:rPr>
      </w:pPr>
      <w:r>
        <w:rPr>
          <w:lang w:val="es-AR" w:eastAsia="es-AR" w:bidi="es-AR"/>
        </w:rPr>
        <w:t xml:space="preserve">La cuantificación del daño moral efectuada en la instancia de grado -$5.000.000- se muestra razonable y proporcionada al cuadro fáctico probado, y no ofrece un desajuste palmario que habilite su replanteo en alzada. </w:t>
      </w:r>
    </w:p>
    <w:p>
      <w:pPr>
        <w:pStyle w:val="[Normal]"/>
        <w:spacing w:line="360" w:lineRule="auto"/>
        <w:ind w:firstLine="1134"/>
        <w:jc w:val="both"/>
        <w:rPr>
          <w:lang w:val="es-AR" w:eastAsia="es-AR" w:bidi="es-AR"/>
        </w:rPr>
      </w:pPr>
      <w:r>
        <w:rPr>
          <w:lang w:val="es-AR" w:eastAsia="es-AR" w:bidi="es-AR"/>
        </w:rPr>
        <w:t xml:space="preserve">El juez sopesó la duración del incumplimiento, la privación de uso del rodado y el impacto existencial acreditado, apoyándose en testimonios concordantes que dan cuenta de cerca de dos años sin vehículo y de las consecuencias prácticas (uso de remís, vehículos prestados, frustración de un viaje familiar, dificultades para la actividad laboral y traslados de un familiar enfermo). </w:t>
      </w:r>
    </w:p>
    <w:p>
      <w:pPr>
        <w:pStyle w:val="[Normal]"/>
        <w:spacing w:line="360" w:lineRule="auto"/>
        <w:ind w:firstLine="1134"/>
        <w:jc w:val="both"/>
        <w:rPr>
          <w:lang w:val="es-AR" w:eastAsia="es-AR" w:bidi="es-AR"/>
        </w:rPr>
      </w:pPr>
      <w:r>
        <w:rPr>
          <w:lang w:val="es-AR" w:eastAsia="es-AR" w:bidi="es-AR"/>
        </w:rPr>
        <w:t xml:space="preserve">Tales extremos surgen de las deposiciones rendidas, cuya convergencia robustece la plataforma presuncional exigida por los arts. 163 inc. 5 y 384 CPCCBA.</w:t>
      </w:r>
    </w:p>
    <w:p>
      <w:pPr>
        <w:pStyle w:val="[Normal]"/>
        <w:spacing w:line="360" w:lineRule="auto"/>
        <w:ind w:firstLine="1134"/>
        <w:jc w:val="both"/>
        <w:rPr>
          <w:lang w:val="es-AR" w:eastAsia="es-AR" w:bidi="es-AR"/>
        </w:rPr>
      </w:pPr>
      <w:r>
        <w:rPr>
          <w:lang w:val="es-AR" w:eastAsia="es-AR" w:bidi="es-AR"/>
        </w:rPr>
        <w:t xml:space="preserve">A su vez, el propio desarrollo contractual quedó objetivado por la admisión de la concesionaria en punto a que la entrega recién “se concretó el 03/12/2024”, hito que delimita el hiato temporal valorado por el a quo. </w:t>
      </w:r>
    </w:p>
    <w:p>
      <w:pPr>
        <w:pStyle w:val="[Normal]"/>
        <w:spacing w:line="360" w:lineRule="auto"/>
        <w:ind w:firstLine="1134"/>
        <w:jc w:val="both"/>
        <w:rPr>
          <w:lang w:val="es-AR" w:eastAsia="es-AR" w:bidi="es-AR"/>
        </w:rPr>
      </w:pPr>
      <w:r>
        <w:rPr>
          <w:lang w:val="es-AR" w:eastAsia="es-AR" w:bidi="es-AR"/>
        </w:rPr>
        <w:t xml:space="preserve">Ese dato objetiva la entidad de la mora y, lejos de justificar un incremento automático, valida el quantum fijado para reparar la afectación espiritual, sin traspasar su función resarcitoria. </w:t>
      </w:r>
    </w:p>
    <w:p>
      <w:pPr>
        <w:pStyle w:val="[Normal]"/>
        <w:spacing w:line="360" w:lineRule="auto"/>
        <w:ind w:firstLine="1134"/>
        <w:jc w:val="both"/>
        <w:rPr>
          <w:lang w:val="es-AR" w:eastAsia="es-AR" w:bidi="es-AR"/>
        </w:rPr>
      </w:pPr>
      <w:r>
        <w:rPr>
          <w:lang w:val="es-AR" w:eastAsia="es-AR" w:bidi="es-AR"/>
        </w:rPr>
        <w:t xml:space="preserve">La crítica del actor no identifica qué factores omitidos por el sentenciante tornarían insuficiente la suma reconocida. Antes bien, considero que el monto fijado se ubica en un punto de equilibrio entre reparación plena (art. 1740 CCyC) y la proscripción del enriquecimiento sin causa, manteniendo la distinción que esta Cámara viene reafirmando entre rubros intrínsecos al retardo (cláusula penal e intereses) y extrínsecos (lesión a la esfera existencial por incumplimiento de deberes accesorios o colaterales a la prestación principal incumplida).</w:t>
      </w:r>
    </w:p>
    <w:p>
      <w:pPr>
        <w:pStyle w:val="[Normal]"/>
        <w:spacing w:line="360" w:lineRule="auto"/>
        <w:ind w:firstLine="1134"/>
        <w:jc w:val="both"/>
        <w:rPr>
          <w:lang w:val="es-AR" w:eastAsia="es-AR" w:bidi="es-AR"/>
        </w:rPr>
      </w:pPr>
      <w:r>
        <w:rPr>
          <w:lang w:val="es-AR" w:eastAsia="es-AR" w:bidi="es-AR"/>
        </w:rPr>
        <w:t xml:space="preserve">Por todo ello, el agravio debe rechazarse y confirmarse el daño moral tal como fue reconocido en la sentencia.	</w:t>
        <w:br w:type="textWrapping"/>
      </w:r>
      <w:r>
        <w:rPr>
          <w:lang w:val="es-AR" w:eastAsia="es-AR" w:bidi="es-AR"/>
        </w:rPr>
        <w:t xml:space="preserve"> 	V.- En punto a las críticas basada en la procedencia y extensión del daño punitivo, anticipo que el agravio de las codemandadas no puede prosperar.</w:t>
      </w:r>
    </w:p>
    <w:p>
      <w:pPr>
        <w:pStyle w:val="[Normal]"/>
        <w:spacing w:line="360" w:lineRule="auto"/>
        <w:ind w:firstLine="1134"/>
        <w:jc w:val="both"/>
        <w:rPr>
          <w:lang w:val="es-AR" w:eastAsia="es-AR" w:bidi="es-AR"/>
        </w:rPr>
      </w:pPr>
      <w:r>
        <w:rPr>
          <w:lang w:val="es-AR" w:eastAsia="es-AR" w:bidi="es-AR"/>
        </w:rPr>
        <w:t xml:space="preserve">En cuanto a la procedencia, el art. 52 bis LDC contempla una multa civil de naturaleza sancionatoria y disuasiva, de aplicación excepcional, pero procedente cuando la conducta del proveedor revela grave menosprecio por los derechos del consumidor. </w:t>
      </w:r>
    </w:p>
    <w:p>
      <w:pPr>
        <w:pStyle w:val="[Normal]"/>
        <w:spacing w:line="360" w:lineRule="auto"/>
        <w:ind w:firstLine="1134"/>
        <w:jc w:val="both"/>
        <w:rPr>
          <w:lang w:val="es-AR" w:eastAsia="es-AR" w:bidi="es-AR"/>
        </w:rPr>
      </w:pPr>
      <w:r>
        <w:rPr>
          <w:lang w:val="es-AR" w:eastAsia="es-AR" w:bidi="es-AR"/>
        </w:rPr>
        <w:t xml:space="preserve">En su propia expresión recursiva, las apelantes reconocen que la valoración del punitivo debe atender a </w:t>
      </w:r>
      <w:r>
        <w:rPr>
          <w:i/>
          <w:lang w:val="es-AR" w:eastAsia="es-AR" w:bidi="es-AR"/>
        </w:rPr>
        <w:t xml:space="preserve">“las circunstancias del caso… la gravedad de la conducta, los beneficios que obtuvo o pudo obtener, el efecto disuasivo, el patrimonio del dañador y otras sanciones”</w:t>
      </w:r>
      <w:r>
        <w:rPr>
          <w:lang w:val="es-AR" w:eastAsia="es-AR" w:bidi="es-AR"/>
        </w:rPr>
        <w:t xml:space="preserve"> (art. 49 LDC). Ese es, precisamente, el haz de pautas que aquí se verifica y que habilita la sanción impugnada.</w:t>
      </w:r>
    </w:p>
    <w:p>
      <w:pPr>
        <w:pStyle w:val="[Normal]"/>
        <w:spacing w:line="360" w:lineRule="auto"/>
        <w:ind w:firstLine="1134"/>
        <w:jc w:val="both"/>
        <w:rPr>
          <w:lang w:val="es-AR" w:eastAsia="es-AR" w:bidi="es-AR"/>
        </w:rPr>
      </w:pPr>
      <w:r>
        <w:rPr>
          <w:lang w:val="es-AR" w:eastAsia="es-AR" w:bidi="es-AR"/>
        </w:rPr>
        <w:t xml:space="preserve">En el plano fáctico, la prueba testimonial es nítida y concordante: se acreditó una privación prolongada del vehículo (˜ 2 años) con incidencia concreta en la vida del actor -frustración de viaje familiar, uso obligado de remises o vehículos prestados, dificultades laborales para retirar mercaderías, y un cuadro anímico de preocupación y amargura-, todo ello exteriorizado en audiencias del 21/02/2025. </w:t>
      </w:r>
    </w:p>
    <w:p>
      <w:pPr>
        <w:pStyle w:val="[Normal]"/>
        <w:spacing w:line="360" w:lineRule="auto"/>
        <w:ind w:firstLine="1134"/>
        <w:jc w:val="both"/>
        <w:rPr>
          <w:lang w:val="es-AR" w:eastAsia="es-AR" w:bidi="es-AR"/>
        </w:rPr>
      </w:pPr>
      <w:r>
        <w:rPr>
          <w:lang w:val="es-AR" w:eastAsia="es-AR" w:bidi="es-AR"/>
        </w:rPr>
        <w:t xml:space="preserve">Estas declaraciones no sólo robustecen la gravedad del incumplimiento, sino también la inobservancia de deberes colaterales (información adecuada, trato digno y coordinación) que el régimen consumeril impone a los proveedores.</w:t>
      </w:r>
    </w:p>
    <w:p>
      <w:pPr>
        <w:pStyle w:val="[Normal]"/>
        <w:spacing w:line="360" w:lineRule="auto"/>
        <w:ind w:firstLine="1134"/>
        <w:jc w:val="both"/>
        <w:rPr>
          <w:lang w:val="es-AR" w:eastAsia="es-AR" w:bidi="es-AR"/>
        </w:rPr>
      </w:pPr>
      <w:r>
        <w:rPr>
          <w:lang w:val="es-AR" w:eastAsia="es-AR" w:bidi="es-AR"/>
        </w:rPr>
        <w:t xml:space="preserve">La tesis defensiva de que no hubo dolo, culpa grave ni </w:t>
      </w:r>
      <w:r>
        <w:rPr>
          <w:i/>
          <w:lang w:val="es-AR" w:eastAsia="es-AR" w:bidi="es-AR"/>
        </w:rPr>
        <w:t xml:space="preserve">“beneficio indebido”</w:t>
      </w:r>
      <w:r>
        <w:rPr>
          <w:lang w:val="es-AR" w:eastAsia="es-AR" w:bidi="es-AR"/>
        </w:rPr>
        <w:t xml:space="preserve"> no se compadece con ese cuadro: la dilatación sostenida de la entrega, la falta de información útil y el obligar al consumidor a sostener durante un extenso lapso un proyecto de consumo sin horizonte cierto, revelan cuanto menos una indiferencia temeraria incompatible con los estándares de buena fe y con la tutela reforzada del consumo. Nótese que las propias apelantes estructuran su crítica sobre la excepcionalidad del instituto y la ausencia de lucro, pero sin desvirtuar con prueba idónea la gravedad ni las consecuencias objetivadas en autos; de hecho, su agravio se limita a afirmar en abstracto la improcedencia del punitivo y la “arbitrariedad” de su cuantificación.</w:t>
      </w:r>
    </w:p>
    <w:p>
      <w:pPr>
        <w:pStyle w:val="[Normal]"/>
        <w:spacing w:line="360" w:lineRule="auto"/>
        <w:ind w:firstLine="1134"/>
        <w:jc w:val="both"/>
        <w:rPr>
          <w:lang w:val="es-AR" w:eastAsia="es-AR" w:bidi="es-AR"/>
        </w:rPr>
      </w:pPr>
      <w:r>
        <w:rPr>
          <w:lang w:val="es-AR" w:eastAsia="es-AR" w:bidi="es-AR"/>
        </w:rPr>
        <w:t xml:space="preserve">Aun si se exigiera ponderar la existencia de ventajas obtenidas o posibles por el proveedor (parámetro orientador, no requisito constitutivo), resulta razonable inferir -según las pautas del art. 49 LDC que las propias codemandadas invocan- que la externalización del costo de la demora hacia el consumidor y la postergación de la entrega generan, cuando menos, ahorros de organización y desaliento insuficiente frente a conductas similares; justamente el tipo de incentivo que el punitivo busca desactivar. </w:t>
      </w:r>
    </w:p>
    <w:p>
      <w:pPr>
        <w:pStyle w:val="[Normal]"/>
        <w:spacing w:line="360" w:lineRule="auto"/>
        <w:ind w:firstLine="1134"/>
        <w:jc w:val="both"/>
        <w:rPr>
          <w:lang w:val="es-AR" w:eastAsia="es-AR" w:bidi="es-AR"/>
        </w:rPr>
      </w:pPr>
      <w:r>
        <w:rPr>
          <w:lang w:val="es-AR" w:eastAsia="es-AR" w:bidi="es-AR"/>
        </w:rPr>
        <w:t xml:space="preserve">La prueba reunida, en armonía con la duración y modalidad del incumplimiento, permite concluir que concurren los extremos cualificados del instituto (gravedad del obrar y necesidad de disuasión), sin que la defensa haya demostrado un obrar diligente, transparente y respetuoso de los deberes de información y trato digno.</w:t>
      </w:r>
    </w:p>
    <w:p>
      <w:pPr>
        <w:pStyle w:val="[Normal]"/>
        <w:spacing w:line="360" w:lineRule="auto"/>
        <w:ind w:firstLine="1134"/>
        <w:jc w:val="both"/>
        <w:rPr>
          <w:lang w:val="es-AR" w:eastAsia="es-AR" w:bidi="es-AR"/>
        </w:rPr>
      </w:pPr>
      <w:r>
        <w:rPr>
          <w:lang w:val="es-AR" w:eastAsia="es-AR" w:bidi="es-AR"/>
        </w:rPr>
        <w:t xml:space="preserve">En relación a la cuantificación excesiva que denuncian los codemandados como aspecto constitutivo de su agravio, he de asumir similar temperamento.</w:t>
      </w:r>
    </w:p>
    <w:p>
      <w:pPr>
        <w:pStyle w:val="[Normal]"/>
        <w:spacing w:line="360" w:lineRule="auto"/>
        <w:ind w:firstLine="1134"/>
        <w:jc w:val="both"/>
        <w:rPr>
          <w:lang w:val="es-AR" w:eastAsia="es-AR" w:bidi="es-AR"/>
        </w:rPr>
      </w:pPr>
      <w:r>
        <w:rPr>
          <w:color w:val="000000"/>
          <w:lang w:val="es-AR" w:eastAsia="es-AR" w:bidi="es-AR"/>
        </w:rPr>
        <w:t xml:space="preserve">A fin de encarar debidamente esta cuestión, he de aclarar primeramente que este Tribunal tiene dicho que: </w:t>
      </w:r>
      <w:r>
        <w:rPr>
          <w:i/>
          <w:color w:val="000000"/>
          <w:lang w:val="es-AR" w:eastAsia="es-AR" w:bidi="es-AR"/>
        </w:rPr>
        <w:t xml:space="preserve">"la </w:t>
      </w:r>
      <w:r>
        <w:rPr>
          <w:i/>
          <w:lang w:val="es-AR" w:eastAsia="es-AR" w:bidi="es-AR"/>
        </w:rPr>
        <w:t xml:space="preserve">graduación del daño punitivo constituye una tarea que necesariamente debe vincularse con las funciones del instituto. Esto es: i) sancionar al causante de un daño inadmisible ii) hacer desaparecer los beneficios injustamente obtenidos provenientes de la actividad dañosa, iii) prevenir o evitar el acaecimiento de hechos lesivos similares al que mereciera la punición. Y en la especie, resulta claro que la plataforma fáctica llama a efectivizar tales funciones: 1) la virtualidad sancionatoria ante el cumplimiento tardío de la obligación adeudada, 2) la desaparición de los beneficios injustamente obtenidos, toda vez que al no entregar el auto en cuestión en tiempo oportuno y descargar sobre el consumidor el costo de la espera, el proveedor no se vio envuelto en el infortunio de tener que salir a buscar un producto sustituto en el mercado nacional o extranjero con el consiguiente encarecimiento de la prestación que ello hubiese implicado (en este caso, el enriquericimiento operó por vía negativa, es decir por no disminución del patrimonio en circunstancias en que debió haber mermado), 3) prevenir el acaecimiento de hechos lesivos similares, por cuanto estas dilaciones suelen ser corrientes en el mercado automotriz bajo la modalidad de planes de ahorro"</w:t>
      </w:r>
      <w:r>
        <w:rPr>
          <w:lang w:val="es-AR" w:eastAsia="es-AR" w:bidi="es-AR"/>
        </w:rPr>
        <w:t xml:space="preserve"> (Cf. Cámara de Apelaciones en lo Civil y Comercial de Pergamino, causa N° </w:t>
      </w:r>
      <w:r>
        <w:rPr>
          <w:color w:val="000000"/>
          <w:lang w:val="es-AR" w:eastAsia="es-AR" w:bidi="es-AR"/>
        </w:rPr>
        <w:t xml:space="preserve">5070-23</w:t>
      </w:r>
      <w:r>
        <w:rPr>
          <w:lang w:val="es-AR" w:eastAsia="es-AR" w:bidi="es-AR"/>
        </w:rPr>
        <w:t xml:space="preserve">  caratulada "</w:t>
      </w:r>
      <w:r>
        <w:rPr>
          <w:color w:val="000000"/>
          <w:lang w:val="es-AR" w:eastAsia="es-AR" w:bidi="es-AR"/>
        </w:rPr>
        <w:t xml:space="preserve">BIGLIERI PABLO ERNESTO C/ SAUMA WAGEN SAN ISIDRO S. A. Y OTRO/A S/ CUMPLIMIENTO DE CONTRATOS CIVILES/COMERCIALES</w:t>
      </w:r>
      <w:r>
        <w:rPr>
          <w:lang w:val="es-AR" w:eastAsia="es-AR" w:bidi="es-AR"/>
        </w:rPr>
        <w:t xml:space="preserve">", 29/2/24).</w:t>
      </w:r>
    </w:p>
    <w:p>
      <w:pPr>
        <w:pStyle w:val="[Normal]"/>
        <w:spacing w:line="360" w:lineRule="auto"/>
        <w:ind w:firstLine="1134"/>
        <w:jc w:val="both"/>
        <w:rPr>
          <w:color w:val="000000"/>
          <w:lang w:val="es-AR" w:eastAsia="es-AR" w:bidi="es-AR"/>
        </w:rPr>
      </w:pPr>
      <w:r>
        <w:rPr>
          <w:lang w:val="es-AR" w:eastAsia="es-AR" w:bidi="es-AR"/>
        </w:rPr>
        <w:t xml:space="preserve">En este sentido, </w:t>
      </w:r>
      <w:r>
        <w:rPr>
          <w:color w:val="000000"/>
          <w:lang w:val="es-AR" w:eastAsia="es-AR" w:bidi="es-AR"/>
        </w:rPr>
        <w:t xml:space="preserve">la cuantificación de los daños punitivos constituye una operación tendiente a traducir esta sanción en una expresión numérica.	</w:t>
        <w:br w:type="textWrapping"/>
      </w:r>
      <w:r>
        <w:rPr>
          <w:color w:val="000000"/>
          <w:lang w:val="es-AR" w:eastAsia="es-AR" w:bidi="es-AR"/>
        </w:rPr>
        <w:t xml:space="preserve"> 	Así pues, debemos partir de la base de que cuando hablamos de la valuación de la suma dineraria que se fijará en contra del demandado en concepto de daños punitivos no sólo nos enfrentamos a las dificultades típicas que trae aparejada la cuantificación de un daño (problemas por falta de criterios objetivos para su apreciación, por ausencia de una medida exacta para su ponderación, por insuficiencia de remedios idóneos para conseguir una reparación adecuada, etc.), sino que además nos encontramos con el singular inconveniente de que no nos estamos refiriendo a un daño en sentido estricto.</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color w:val="000000"/>
          <w:sz w:val="24"/>
          <w:lang w:val="es-AR" w:eastAsia="es-AR" w:bidi="es-AR"/>
        </w:rPr>
      </w:pPr>
      <w:r>
        <w:rPr>
          <w:rFonts w:ascii="Arial" w:hAnsi="Arial" w:eastAsia="Arial" w:cs="Arial"/>
          <w:color w:val="000000"/>
          <w:sz w:val="24"/>
          <w:lang w:val="es-AR" w:eastAsia="es-AR" w:bidi="es-AR"/>
        </w:rPr>
        <w:t xml:space="preserve">Sobre esta línea de pensamiento, y teniendo en cuenta las funciones que cumple el instituto, resulta en algunos casos difícil la fijación de pautas estrictamente objetivas para uniformidad a las cifras de condena, habida cuenta de que los principales parámetros que deben ser valorados revisten naturaleza predominantemente cualitativa.	</w:t>
      </w:r>
    </w:p>
    <w:p>
      <w:pPr>
        <w:pStyle w:val="[Normal]"/>
        <w:spacing w:line="360" w:lineRule="auto"/>
        <w:ind w:firstLine="1134"/>
        <w:jc w:val="both"/>
        <w:rPr>
          <w:lang w:val="es-AR" w:eastAsia="es-AR" w:bidi="es-AR"/>
        </w:rPr>
      </w:pPr>
      <w:r>
        <w:rPr>
          <w:color w:val="000000"/>
          <w:lang w:val="es-AR" w:eastAsia="es-AR" w:bidi="es-AR"/>
        </w:rPr>
        <w:t xml:space="preserve">Sin perjuicio de lo expuesto, no puede perderse de vista que, aunque quede librada al prudente arbitrio judicial, la cuantificación de cualquier daño, incluso el punitivo, debe estar debidamente fundada. Así lo dicho la Corte Nacional al sostener que el ejercicio de una facultad discrecional no constituye eximente del deber de fundar el pronunciamiento (</w:t>
      </w:r>
      <w:r>
        <w:rPr>
          <w:lang w:val="es-AR" w:eastAsia="es-AR" w:bidi="es-AR"/>
        </w:rPr>
        <w:t xml:space="preserve">CSJN, Fallos 311:66, 319:1740 y 320:451).</w:t>
      </w:r>
    </w:p>
    <w:p>
      <w:pPr>
        <w:pStyle w:val="[Normal]"/>
        <w:spacing w:line="360" w:lineRule="auto"/>
        <w:ind w:firstLine="1134"/>
        <w:jc w:val="both"/>
        <w:rPr>
          <w:lang w:val="es-AR" w:eastAsia="es-AR" w:bidi="es-AR"/>
        </w:rPr>
      </w:pPr>
      <w:r>
        <w:rPr>
          <w:lang w:val="es-AR" w:eastAsia="es-AR" w:bidi="es-AR"/>
        </w:rPr>
        <w:t xml:space="preserve">En la especie, el a quo ponderó la extensión temporal del incumplimiento, la reiteración de gestiones infructuosas y el impacto en la esfera existencial verificado por la prueba testimonial. Tal valoración, articulada con la finalidad disuasiva propia del instituto, arroja un monto que no luce excesivo frente a las pautas legales y a la entidad del caso. </w:t>
        <w:br w:type="textWrapping"/>
      </w:r>
      <w:r>
        <w:rPr>
          <w:lang w:val="es-AR" w:eastAsia="es-AR" w:bidi="es-AR"/>
        </w:rPr>
        <w:t xml:space="preserve"> 	Que las codemandadas discrepen con la cifra y pretendan su drástica reducción no suple la carga de acreditar desviación manifiesta o error de método; su alegación se mantiene genérica (v.gr., que el juez “arbitrariamente establece pisos”), sin rebatir los hechos base ni la razonabilidad del juicio de proporcionalidad.</w:t>
      </w:r>
    </w:p>
    <w:p>
      <w:pPr>
        <w:pStyle w:val="[Normal]"/>
        <w:spacing w:line="360" w:lineRule="auto"/>
        <w:ind w:firstLine="1134"/>
        <w:jc w:val="both"/>
        <w:rPr>
          <w:lang w:val="es-AR" w:eastAsia="es-AR" w:bidi="es-AR"/>
        </w:rPr>
      </w:pPr>
      <w:r>
        <w:rPr>
          <w:lang w:val="es-AR" w:eastAsia="es-AR" w:bidi="es-AR"/>
        </w:rPr>
        <w:t xml:space="preserve">Por todo ello, el agravio de las codemandadas debe rechazarse, confirmándose la condena por daño punitivo en su procedencia y cuantía, con costas.</w:t>
      </w:r>
    </w:p>
    <w:p>
      <w:pPr>
        <w:pStyle w:val="[Normal]"/>
        <w:spacing w:line="360" w:lineRule="auto"/>
        <w:ind w:firstLine="1134"/>
        <w:jc w:val="both"/>
        <w:rPr>
          <w:lang w:val="es-AR" w:eastAsia="es-AR" w:bidi="es-AR"/>
        </w:rPr>
      </w:pPr>
      <w:r>
        <w:rPr>
          <w:lang w:val="es-AR" w:eastAsia="es-AR" w:bidi="es-AR"/>
        </w:rPr>
        <w:t xml:space="preserve">Finalmente, en relación al agravio del actor en relación a este punto específico por insuficiencia del monto otorgado, considero que corresponde hacer lugar a la crítica esbozada.</w:t>
      </w:r>
    </w:p>
    <w:p>
      <w:pPr>
        <w:pStyle w:val="[Normal]"/>
        <w:spacing w:line="360" w:lineRule="auto"/>
        <w:ind w:firstLine="1134"/>
        <w:jc w:val="both"/>
        <w:rPr>
          <w:lang w:val="es-AR" w:eastAsia="es-AR" w:bidi="es-AR"/>
        </w:rPr>
      </w:pPr>
      <w:r>
        <w:rPr>
          <w:lang w:val="es-AR" w:eastAsia="es-AR" w:bidi="es-AR"/>
        </w:rPr>
        <w:t xml:space="preserve">A la luz del cuadro fáctico acreditado -demora extraordinaria en la entrega, comunicaciones poco útiles, reprogramaciones sucesivas y privación del uso por un lapso inusual- la cifra de $5.000.000 no alcanza para neutralizar los incentivos que generaron la conducta reprochada ni para proyectar un mensaje suficientemente disuasivo hacia el mercado.</w:t>
      </w:r>
    </w:p>
    <w:p>
      <w:pPr>
        <w:pStyle w:val="[Normal]"/>
        <w:spacing w:line="360" w:lineRule="auto"/>
        <w:ind w:firstLine="1134"/>
        <w:jc w:val="both"/>
        <w:rPr>
          <w:lang w:val="es-AR" w:eastAsia="es-AR" w:bidi="es-AR"/>
        </w:rPr>
      </w:pPr>
      <w:r>
        <w:rPr>
          <w:lang w:val="es-AR" w:eastAsia="es-AR" w:bidi="es-AR"/>
        </w:rPr>
        <w:t xml:space="preserve">La gravedad del obrar surge no sólo del incumplimiento del plazo comprometido, sino del modo en que fue llevado: promesas que se suceden sin concreción, ausencia de información clara, suficiente y en tiempo (art. 4 LDC) y un trato que, en su resultado final, se percibe indiferente al legítimo interés del consumidor (art. 8 bis LDC). Ello excede la mera mora</w:t>
      </w:r>
      <w:r>
        <w:rPr>
          <w:i/>
          <w:lang w:val="es-AR" w:eastAsia="es-AR" w:bidi="es-AR"/>
        </w:rPr>
        <w:t xml:space="preserve"> “neutra”</w:t>
      </w:r>
      <w:r>
        <w:rPr>
          <w:lang w:val="es-AR" w:eastAsia="es-AR" w:bidi="es-AR"/>
        </w:rPr>
        <w:t xml:space="preserve"> y traduce una desatención calificada de deberes colaterales que tutela la normativa especial. En ese marco, restringir la respuesta punitiva a un monto que pueda ser internalizado como “costo de demora” por los proveedores erosiona la función ejemplar del instituto.</w:t>
      </w:r>
    </w:p>
    <w:p>
      <w:pPr>
        <w:pStyle w:val="[Normal]"/>
        <w:spacing w:line="360" w:lineRule="auto"/>
        <w:ind w:firstLine="1134"/>
        <w:jc w:val="both"/>
        <w:rPr>
          <w:lang w:val="es-AR" w:eastAsia="es-AR" w:bidi="es-AR"/>
        </w:rPr>
      </w:pPr>
      <w:r>
        <w:rPr>
          <w:lang w:val="es-AR" w:eastAsia="es-AR" w:bidi="es-AR"/>
        </w:rPr>
        <w:t xml:space="preserve">Pondero, además, la reiteración y la proyección generalizable de la práctica. La arquitectura operativa de los planes de ahorro -con su división interna de roles entre administradora y concesionaria, y su dependencia de adquisiciones centralizada- tiende a trasladar al consumidor los riesgos de organización (demoras, reprogramaciones, faltantes) si no median contrapesos eficaces. El iter verificado en autos muestra rasgos repetidos en el tiempo (compromisos de entrega incumplidos, respuestas estandarizadas), lo que eleva la necesidad de un correctivo visible que desaliente la reproducción del comportamiento, tanto en el caso como hacia afuera (disciplina de mercado). En rigor, esta Alzada ya se ha ocupado de castigar conductas similares de la accionada en otras causas que han tramitado ante este organismo (vgr. Cámara de Apelación en lo Civil y Comercial del Departamento Judicial Pergamino, causa N° </w:t>
      </w:r>
      <w:r>
        <w:rPr>
          <w:color w:val="000000"/>
          <w:lang w:val="es-AR" w:eastAsia="es-AR" w:bidi="es-AR"/>
        </w:rPr>
        <w:t xml:space="preserve">5167-23</w:t>
      </w:r>
      <w:r>
        <w:rPr>
          <w:lang w:val="es-AR" w:eastAsia="es-AR" w:bidi="es-AR"/>
        </w:rPr>
        <w:t xml:space="preserve">   caratulada "</w:t>
      </w:r>
      <w:r>
        <w:rPr>
          <w:color w:val="000000"/>
          <w:lang w:val="es-AR" w:eastAsia="es-AR" w:bidi="es-AR"/>
        </w:rPr>
        <w:t xml:space="preserve">ACOSTA EDUARDO GUSTAVO Y OTROS EN CARÁCTER DE SUCESORES DE LOZANO, ALCIRA LUJANLOZANO ALCIRA LUJAN C/ MONTANARI AUTOMOTORES S.A. Y OTROS S/ RESCISION DE CONTRATOS CIVILES/COMERCIALES</w:t>
      </w:r>
      <w:r>
        <w:rPr>
          <w:lang w:val="es-AR" w:eastAsia="es-AR" w:bidi="es-AR"/>
        </w:rPr>
        <w:t xml:space="preserve">", 12/3/2024). </w:t>
      </w:r>
    </w:p>
    <w:p>
      <w:pPr>
        <w:pStyle w:val="[Normal]"/>
        <w:spacing w:line="360" w:lineRule="auto"/>
        <w:ind w:firstLine="1134"/>
        <w:jc w:val="both"/>
        <w:rPr>
          <w:lang w:val="es-AR" w:eastAsia="es-AR" w:bidi="es-AR"/>
        </w:rPr>
      </w:pPr>
      <w:r>
        <w:rPr>
          <w:lang w:val="es-AR" w:eastAsia="es-AR" w:bidi="es-AR"/>
        </w:rPr>
        <w:t xml:space="preserve">La graduación del punitivo exige, como pauta, la proporcionalidad con: 1) el desvalor de la conducta; 2) la duración e intensidad del incumplimiento; 3) la eventual ventaja o ahorro de costos derivados de diferir la entrega trasladando el costo al consumidor; 4) el patrimonio y capacidad de los proveedores; y 5) la articulación con los demás remedios ya reconocidos (pena por mora e intereses; daño moral). Aquí, esos elementos confluyen en sentido de agravar el módulo: la ventaja típica de externalizar la demora, la extensión temporal excepcional y la necesidad de señal preventiva justifican un aumento que torne inconveniente repetir la conducta.</w:t>
      </w:r>
    </w:p>
    <w:p>
      <w:pPr>
        <w:pStyle w:val="[Normal]"/>
        <w:spacing w:line="360" w:lineRule="auto"/>
        <w:ind w:firstLine="1134"/>
        <w:jc w:val="both"/>
        <w:rPr>
          <w:lang w:val="es-AR" w:eastAsia="es-AR" w:bidi="es-AR"/>
        </w:rPr>
      </w:pPr>
      <w:r>
        <w:rPr>
          <w:lang w:val="es-AR" w:eastAsia="es-AR" w:bidi="es-AR"/>
        </w:rPr>
        <w:t xml:space="preserve">Este incremento no genera doble resarcimiento ni interfiere con el resto de los rubros, porque el punitivo no indemniza: convive armónicamente con la indemnización moratoria (que cubre el daño intrínseco y temporal del retardo) y con el daño moral (que protege la esfera existencial del consumidor). La separación funcional de rubros se mantiene incólume, y el refuerzo del punitivo cumple exactamente la finalidad que el legislador asignó al art. 52 bis LDC: desalentar prácticas proveedoras reprobables y corregir el cálculo económico que las sostiene.</w:t>
      </w:r>
    </w:p>
    <w:p>
      <w:pPr>
        <w:pStyle w:val="[Normal]"/>
        <w:spacing w:line="360" w:lineRule="auto"/>
        <w:ind w:firstLine="1134"/>
        <w:jc w:val="both"/>
        <w:rPr>
          <w:lang w:val="es-AR" w:eastAsia="es-AR" w:bidi="es-AR"/>
        </w:rPr>
      </w:pPr>
      <w:r>
        <w:rPr>
          <w:lang w:val="es-AR" w:eastAsia="es-AR" w:bidi="es-AR"/>
        </w:rPr>
        <w:t xml:space="preserve">Por lo expuesto, hago lugar al agravio del actor y elevo la cuantía del daño punitivo a un monto superior al fijado en la instancia de origen. A los efectos de la determinación concreta, y atendiendo a los parámetros reseñados (gravedad, reiteración, proyección generalizable, proporcionalidad con los restantes rubros y capacidad económica de las demandadas), corresponde incrementar el rubro punitivo a la suma $10.000.000.</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1) Hacer lugar parcialmente al recurso de apelación interpuesto por la parte actora respecto a las codemandadas Volkswagen S. A. y Sauma Wagen San Isidro S.A.</w:t>
      </w:r>
      <w:r>
        <w:rPr>
          <w:color w:val="000000"/>
          <w:lang w:val="es-AR" w:eastAsia="es-AR" w:bidi="es-AR"/>
        </w:rPr>
        <w:t xml:space="preserve"> </w:t>
      </w:r>
      <w:r>
        <w:rPr>
          <w:lang w:val="es-AR" w:eastAsia="es-AR" w:bidi="es-AR"/>
        </w:rPr>
        <w:t xml:space="preserve">y, en su mérito, establecer el daño punitivo en la suma de diez millones de pesos ($ 10.000.000), confirmando en lo restante el pronunciamiento apelado.</w:t>
      </w:r>
    </w:p>
    <w:p>
      <w:pPr>
        <w:pStyle w:val="[Normal]"/>
        <w:spacing w:line="360" w:lineRule="auto"/>
        <w:ind w:firstLine="1134"/>
        <w:jc w:val="both"/>
        <w:rPr>
          <w:lang w:val="es-AR" w:eastAsia="es-AR" w:bidi="es-AR"/>
        </w:rPr>
      </w:pPr>
      <w:r>
        <w:rPr>
          <w:lang w:val="es-AR" w:eastAsia="es-AR" w:bidi="es-AR"/>
        </w:rPr>
        <w:t xml:space="preserve">2) Rechazar el recurso de apelación interpuesto por las codemandadas VOLKSWAGEN SA DE AHORRO PARA FINES DETERMINADOS y SAUMA WAGEN SAN  ISIDRO S.A.</w:t>
      </w:r>
    </w:p>
    <w:p>
      <w:pPr>
        <w:pStyle w:val="[Normal]"/>
        <w:spacing w:line="360" w:lineRule="auto"/>
        <w:ind w:firstLine="1134"/>
        <w:jc w:val="both"/>
        <w:rPr>
          <w:lang w:val="es-AR" w:eastAsia="es-AR" w:bidi="es-AR"/>
        </w:rPr>
      </w:pPr>
      <w:r>
        <w:rPr>
          <w:lang w:val="es-AR" w:eastAsia="es-AR" w:bidi="es-AR"/>
        </w:rPr>
        <w:t xml:space="preserve">3) Imponer las costas de Alzada a las codemandadas vencidas (art. 68/69 del CPCCBA).-</w:t>
      </w:r>
    </w:p>
    <w:p>
      <w:pPr>
        <w:pStyle w:val="[Normal]"/>
        <w:spacing w:line="360" w:lineRule="auto"/>
        <w:ind w:firstLine="1134"/>
        <w:jc w:val="both"/>
        <w:rPr>
          <w:lang w:val="es-AR" w:eastAsia="es-AR" w:bidi="es-AR"/>
        </w:rPr>
      </w:pPr>
      <w:r>
        <w:rPr>
          <w:lang w:val="es-AR" w:eastAsia="es-AR" w:bidi="es-AR"/>
        </w:rPr>
        <w:t xml:space="preserve">4) Diferir la regulación de honorarios para su oportunidad respectiva (art. 31 de la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1) Hacer lugar parcialmente al recurso de apelación interpuesto por la parte actora respecto a las codemandadas Volkswagen S. A. y Sauma Wagen San Isidro S.A.</w:t>
      </w:r>
      <w:r>
        <w:rPr>
          <w:color w:val="000000"/>
          <w:lang w:val="es-AR" w:eastAsia="es-AR" w:bidi="es-AR"/>
        </w:rPr>
        <w:t xml:space="preserve"> </w:t>
      </w:r>
      <w:r>
        <w:rPr>
          <w:lang w:val="es-AR" w:eastAsia="es-AR" w:bidi="es-AR"/>
        </w:rPr>
        <w:t xml:space="preserve">y, en su mérito, establecer el daño punitivo en la suma de diez millones de pesos ($ 10.000.000), confirmando en lo restante el pronunciamiento apelado.</w:t>
      </w:r>
    </w:p>
    <w:p>
      <w:pPr>
        <w:pStyle w:val="[Normal]"/>
        <w:spacing w:line="360" w:lineRule="auto"/>
        <w:ind w:firstLine="1134"/>
        <w:jc w:val="both"/>
        <w:rPr>
          <w:lang w:val="es-AR" w:eastAsia="es-AR" w:bidi="es-AR"/>
        </w:rPr>
      </w:pPr>
      <w:r>
        <w:rPr>
          <w:lang w:val="es-AR" w:eastAsia="es-AR" w:bidi="es-AR"/>
        </w:rPr>
        <w:t xml:space="preserve">2) Rechazar el recurso de apelación interpuesto por las codemandadas VOLKSWAGEN SA DE AHORRO PARA FINES DETERMINADOS y SAUMA WAGEN SAN  ISIDRO S.A.</w:t>
      </w:r>
    </w:p>
    <w:p>
      <w:pPr>
        <w:pStyle w:val="[Normal]"/>
        <w:spacing w:line="360" w:lineRule="auto"/>
        <w:ind w:firstLine="1134"/>
        <w:jc w:val="both"/>
        <w:rPr>
          <w:lang w:val="es-AR" w:eastAsia="es-AR" w:bidi="es-AR"/>
        </w:rPr>
      </w:pPr>
      <w:r>
        <w:rPr>
          <w:lang w:val="es-AR" w:eastAsia="es-AR" w:bidi="es-AR"/>
        </w:rPr>
        <w:t xml:space="preserve">3) Imponer las costas de Alzada a las codemandadas vencidas (art. 68/69 del CPCCBA).-</w:t>
      </w:r>
    </w:p>
    <w:p>
      <w:pPr>
        <w:pStyle w:val="[Normal]"/>
        <w:spacing w:line="360" w:lineRule="auto"/>
        <w:ind w:firstLine="1134"/>
        <w:jc w:val="both"/>
        <w:rPr>
          <w:lang w:val="es-AR" w:eastAsia="es-AR" w:bidi="es-AR"/>
        </w:rPr>
      </w:pPr>
      <w:r>
        <w:rPr>
          <w:lang w:val="es-AR" w:eastAsia="es-AR" w:bidi="es-AR"/>
        </w:rPr>
        <w:t xml:space="preserve">4) Diferir la regulación de honorarios para su oportunidad respectiva (art. 31 de la ley 14.967).-</w:t>
      </w:r>
    </w:p>
    <w:p>
      <w:pPr>
        <w:pStyle w:val="[Normal]"/>
        <w:spacing w:line="360" w:lineRule="auto"/>
        <w:ind w:firstLine="1134"/>
        <w:jc w:val="both"/>
        <w:rPr>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 </w:t>
      </w: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07/10/2025 10:31:04 -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07/10/2025 10:33:18 -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07/10/2025 12:29:52 - MOREA Adrian Oscar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‰9A")è&amp;c~uÂŠ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253302090006679485</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07/10/2025 12:30:36 hs. bajo el número RS-144-2025 por MOREA ADRIAN OSCAR.</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Normal">
    <w:name w:val="Normal"/>
    <w:next w:val="Normal"/>
    <w:qFormat/>
    <w:pPr>
      <w:widowControl w:val="on"/>
      <w:shd w:val="clear" w:color="auto" w:fill="auto"/>
      <w:spacing w:before="0" w:after="160" w:line="259" w:lineRule="auto"/>
      <w:ind w:left="0" w:right="0" w:firstLine="0"/>
      <w:jc w:val="left"/>
    </w:pPr>
    <w:rPr>
      <w:rFonts w:ascii="Times New Roman" w:hAnsi="Times New Roman" w:eastAsia="Times New Roman" w:cs="Times New Roman"/>
      <w:b w:val="off"/>
      <w:bCs w:val="off"/>
      <w:i w:val="off"/>
      <w:iCs w:val="off"/>
      <w:strike w:val="off"/>
      <w:color w:val="auto"/>
      <w:position w:val="0"/>
      <w:sz w:val="22"/>
      <w:szCs w:val="22"/>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