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5711-25</w:t>
      </w:r>
      <w:r>
        <w:rPr>
          <w:lang w:val="es-AR" w:eastAsia="es-AR" w:bidi="es-AR"/>
        </w:rPr>
        <w:t xml:space="preserve"> caratulada </w:t>
      </w:r>
      <w:r>
        <w:rPr>
          <w:b/>
          <w:lang w:val="es-AR" w:eastAsia="es-AR" w:bidi="es-AR"/>
        </w:rPr>
        <w:t xml:space="preserve">"</w:t>
      </w:r>
      <w:r>
        <w:rPr>
          <w:b/>
          <w:color w:val="000000"/>
          <w:lang w:val="es-AR" w:eastAsia="es-AR" w:bidi="es-AR"/>
        </w:rPr>
        <w:t xml:space="preserve">RAMIREZ SILVERIA ANA C/ GIMENEZ AGUSTIN PABLO S/ PRESCRIPCION ADQUISITIVA LARGA</w:t>
      </w:r>
      <w:r>
        <w:rPr>
          <w:b/>
          <w:lang w:val="es-AR" w:eastAsia="es-AR" w:bidi="es-AR"/>
        </w:rPr>
        <w:t xml:space="preserve">"</w:t>
      </w:r>
      <w:r>
        <w:rPr>
          <w:lang w:val="es-AR" w:eastAsia="es-AR" w:bidi="es-AR"/>
        </w:rPr>
        <w:t xml:space="preserve">, Expte. N° 64.851 del Juzgado Civil y Comercial N° 3</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primera instancia rechazó la demanda que por adquisición de dominio por posesión veinteñal promovió Silveria Ana Ramirez contra Agustín Pablo Giménez sobre el bien inmueble identificado catastralmente como: C II, Sec C, Chac 157, Manz 157 r, P 18, Mat 40.379, Partida Inmobiliaria 27.219, sito en el partido de Pergamino. Impuso las costas a la parte actora vencida y difirió la regulación de honorarios.-</w:t>
      </w:r>
    </w:p>
    <w:p>
      <w:pPr>
        <w:pStyle w:val="[Normal]"/>
        <w:spacing w:line="360" w:lineRule="auto"/>
        <w:ind w:firstLine="1134"/>
        <w:jc w:val="both"/>
        <w:rPr>
          <w:lang w:val="es-AR" w:eastAsia="es-AR" w:bidi="es-AR"/>
        </w:rPr>
      </w:pPr>
      <w:r>
        <w:rPr>
          <w:lang w:val="es-AR" w:eastAsia="es-AR" w:bidi="es-AR"/>
        </w:rPr>
        <w:t xml:space="preserve">Disconforme con lo resuelto, interpone recurso de apelación la parte actora el 27-5-2025, quien lo funda en fecha 16-6-2025, habiendo la Defensora Oficial contestado el traslado conferido el 30-6-2025.-</w:t>
      </w:r>
    </w:p>
    <w:p>
      <w:pPr>
        <w:pStyle w:val="[Normal]"/>
        <w:spacing w:line="360" w:lineRule="auto"/>
        <w:ind w:firstLine="1134"/>
        <w:jc w:val="both"/>
        <w:rPr>
          <w:lang w:val="es-AR" w:eastAsia="es-AR" w:bidi="es-AR"/>
        </w:rPr>
      </w:pPr>
      <w:r>
        <w:rPr>
          <w:lang w:val="es-AR" w:eastAsia="es-AR" w:bidi="es-AR"/>
        </w:rPr>
        <w:t xml:space="preserve">En fecha 3-7-2025 se dictó el llamamiento de autos para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Centra su crítica la quejosa en el rechazo a la demanda de usucapión por ella entablada.-</w:t>
      </w:r>
    </w:p>
    <w:p>
      <w:pPr>
        <w:pStyle w:val="[Normal]"/>
        <w:spacing w:line="360" w:lineRule="auto"/>
        <w:ind w:firstLine="1134"/>
        <w:jc w:val="both"/>
        <w:rPr>
          <w:lang w:val="es-AR" w:eastAsia="es-AR" w:bidi="es-AR"/>
        </w:rPr>
      </w:pPr>
      <w:r>
        <w:rPr>
          <w:lang w:val="es-AR" w:eastAsia="es-AR" w:bidi="es-AR"/>
        </w:rPr>
        <w:t xml:space="preserve">Se queja de la valoración de los testigos realizada por el a quo afirmando que los mismos son claros en reconocer que ella se ha comportado como verdadera dueña de del inmueble.-</w:t>
      </w:r>
    </w:p>
    <w:p>
      <w:pPr>
        <w:pStyle w:val="[Normal]"/>
        <w:spacing w:line="360" w:lineRule="auto"/>
        <w:ind w:firstLine="1134"/>
        <w:jc w:val="both"/>
        <w:rPr>
          <w:lang w:val="es-AR" w:eastAsia="es-AR" w:bidi="es-AR"/>
        </w:rPr>
      </w:pPr>
      <w:r>
        <w:rPr>
          <w:lang w:val="es-AR" w:eastAsia="es-AR" w:bidi="es-AR"/>
        </w:rPr>
        <w:t xml:space="preserve">Considera además que han producido otras probanzas contundentes más allá del pago de impuestos como es la conexión a los servicios desde hace mucho tiempo.-</w:t>
      </w:r>
    </w:p>
    <w:p>
      <w:pPr>
        <w:pStyle w:val="[Normal]"/>
        <w:spacing w:line="360" w:lineRule="auto"/>
        <w:ind w:firstLine="1134"/>
        <w:jc w:val="both"/>
        <w:rPr>
          <w:lang w:val="es-AR" w:eastAsia="es-AR" w:bidi="es-AR"/>
        </w:rPr>
      </w:pPr>
      <w:r>
        <w:rPr>
          <w:lang w:val="es-AR" w:eastAsia="es-AR" w:bidi="es-AR"/>
        </w:rPr>
        <w:t xml:space="preserve">Solicita se revoque la sentencia apelada y se le conceda la demanda de prescripción adquisitiva.-</w:t>
      </w:r>
    </w:p>
    <w:p>
      <w:pPr>
        <w:pStyle w:val="[Normal]"/>
        <w:spacing w:line="360" w:lineRule="auto"/>
        <w:ind w:firstLine="1134"/>
        <w:jc w:val="both"/>
        <w:rPr>
          <w:lang w:val="es-AR" w:eastAsia="es-AR" w:bidi="es-AR"/>
        </w:rPr>
      </w:pPr>
      <w:r>
        <w:rPr>
          <w:lang w:val="es-AR" w:eastAsia="es-AR" w:bidi="es-AR"/>
        </w:rPr>
        <w:t xml:space="preserve">A su turno, la Defensora Oficial controvierte lo dicho por la parte actora y solicita se confirme la sentencia apelada.-</w:t>
      </w:r>
    </w:p>
    <w:p>
      <w:pPr>
        <w:pStyle w:val="[Normal]"/>
        <w:spacing w:line="360" w:lineRule="auto"/>
        <w:ind w:firstLine="1134"/>
        <w:jc w:val="both"/>
        <w:rPr>
          <w:lang w:val="es-AR" w:eastAsia="es-AR" w:bidi="es-AR"/>
        </w:rPr>
      </w:pPr>
      <w:r>
        <w:rPr>
          <w:lang w:val="es-AR" w:eastAsia="es-AR" w:bidi="es-AR"/>
        </w:rPr>
        <w:t xml:space="preserve">Entrando a resolver, cabe recordar que es criterio sostenido de esta Alzada que la expresión de agravios debe contener la crítica concreta y razonada de las partes del fallo que el apelante considere equivocadas (art. 260 del CPCC, cfr. DJBA 90-150), resultando insuficiente la mera disconformidad con él o la repetición de una postura ya asumida y adecuadamente tratada por el sentenciante, pues el apelante está  obligado a demostrar por qué estima falso el proceso lógico que genera la sentencia, qué premisas son equivocadas y cuáles son los fundamentos que sustentan la configuración de tal error (CAP C-1324/94, Reg.N°56 F°203, C- 117/09, RSD 64/09, causa nº 1431 RSD Reg. 142/2012, causa nº 2114 RSD Reg. 109/2014, entre otras).</w:t>
      </w:r>
    </w:p>
    <w:p>
      <w:pPr>
        <w:pStyle w:val="[Normal]"/>
        <w:spacing w:line="360" w:lineRule="auto"/>
        <w:ind w:firstLine="1134"/>
        <w:jc w:val="both"/>
        <w:rPr>
          <w:lang w:val="es-AR" w:eastAsia="es-AR" w:bidi="es-AR"/>
        </w:rPr>
      </w:pPr>
      <w:r>
        <w:rPr>
          <w:lang w:val="es-AR" w:eastAsia="es-AR" w:bidi="es-AR"/>
        </w:rPr>
        <w:t xml:space="preserve">Al respecto ha señalado la SCBA que "... el desarrollo de los agravios a la luz del art. 260 del Código Procesal Civil y Comercial supone, como carga procesal, una exposición jurídica en la que mediante el análisis razonado y crítico del fallo impugnado se evidencie su injusticia. Requiere así una articulación seria, fundada, concreta y objetiva de los errores de la sentencia, punto por punto, y una demostración de los motivos para considerar que ella es errónea, injusta o contraria a derecho (conf. Ac. 49.561, sent. del 31-V-1994 en "Acuerdos y Sentencias", 1994-II-383; Ac. 53.320, sent. del 19-XII-1995 en "Acuerdos y Sentencias", 1995-IV-674; conf. doct. C. 91.877, sent. del 13-XII-2006)"...(causa C 1128-13 S 16/07/2014).</w:t>
      </w:r>
    </w:p>
    <w:p>
      <w:pPr>
        <w:pStyle w:val="[Normal]"/>
        <w:spacing w:line="360" w:lineRule="auto"/>
        <w:ind w:firstLine="1134"/>
        <w:jc w:val="both"/>
        <w:rPr>
          <w:b/>
          <w:lang w:val="es-AR" w:eastAsia="es-AR" w:bidi="es-AR"/>
        </w:rPr>
      </w:pPr>
      <w:r>
        <w:rPr>
          <w:lang w:val="es-AR" w:eastAsia="es-AR" w:bidi="es-AR"/>
        </w:rPr>
        <w:t xml:space="preserve">Es que, la segunda instancia no es autónoma, ni es reconducción, es como norma, dependiente de lo actuado en la instancia inicial y es revisión de su sentencia, síntesis o conclusión, a cuyo efecto requiere el elemento nuevo: la crítica de los agravios que de la misma resulte, de tal modo que si faltaren esas argumentaciones carece el tribunal de Alzada de la materia indispensable para confrontar los argumentos del a-quo.</w:t>
      </w:r>
    </w:p>
    <w:p>
      <w:pPr>
        <w:pStyle w:val="[Normal]"/>
        <w:spacing w:line="360" w:lineRule="auto"/>
        <w:ind w:firstLine="1134"/>
        <w:jc w:val="both"/>
        <w:rPr>
          <w:b/>
          <w:lang w:val="es-AR" w:eastAsia="es-AR" w:bidi="es-AR"/>
        </w:rPr>
      </w:pPr>
      <w:r>
        <w:rPr>
          <w:lang w:val="es-AR" w:eastAsia="es-AR" w:bidi="es-AR"/>
        </w:rPr>
        <w:t xml:space="preserve">En la especie, la recurrente se ha limitado a manifestar su desacuerdo con la forma en que el magistrado de grado ha valorado las declaraciones testimoniales producidas sin rebatir, punto por punto, las partes de una resolución judicial que se considera equivocada. La apelación no articula una crítica razonada de los aspectos jurídicos centrales que sustentan la decisión recurrida, limitándose a efectuar manifestaciones subjetivas y a realizar referencias jurisprudenciales sin articular un razonamiento coherente que permita poner en discusión los fundamentos de derecho de la decisión impugnada.-</w:t>
      </w:r>
    </w:p>
    <w:p>
      <w:pPr>
        <w:pStyle w:val="[Normal]"/>
        <w:spacing w:line="360" w:lineRule="auto"/>
        <w:ind w:firstLine="1134"/>
        <w:jc w:val="both"/>
        <w:rPr>
          <w:lang w:val="es-AR" w:eastAsia="es-AR" w:bidi="es-AR"/>
        </w:rPr>
      </w:pPr>
      <w:r>
        <w:rPr>
          <w:lang w:val="es-AR" w:eastAsia="es-AR" w:bidi="es-AR"/>
        </w:rPr>
        <w:t xml:space="preserve">Concluyo entonces que la expresión de agravios presentada electrónicamente el 16-6-2025 no alcanza a abastecer la carga procesal de alcanzar cierto nivel crítico que permita su tratamiento, mostrándose inidóneo ya que no ataca en forma concreta y frontal los verdaderos fundamentos del fallo apelado, no correspondiendo en consecuencia otorgar al disgusto manifestado del modo expuesto la suficiente relevancia jurídico-procesal que lo torne apto para abrir la competencia revisora de la Cámara (arts. 260 y 261 CPCC).-</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Declarar desierto el recurso de apelación deducido por la parte actora y firme la sentencia de fecha 23-5-2025 (arts. 260 y 261 del CPCC).-</w:t>
      </w:r>
    </w:p>
    <w:p>
      <w:pPr>
        <w:pStyle w:val="[Normal]"/>
        <w:spacing w:line="360" w:lineRule="auto"/>
        <w:ind w:firstLine="1134"/>
        <w:jc w:val="both"/>
        <w:rPr>
          <w:lang w:val="es-AR" w:eastAsia="es-AR" w:bidi="es-AR"/>
        </w:rPr>
      </w:pPr>
      <w:r>
        <w:rPr>
          <w:lang w:val="es-AR" w:eastAsia="es-AR" w:bidi="es-AR"/>
        </w:rPr>
        <w:t xml:space="preserve">Imponer costas de Alzada a la actora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Declarar desierto el recurso de apelación deducido por la parte actora y firme la sentencia de fecha 23-5-2025 (arts. 260 y 261 del CPCC).-</w:t>
      </w:r>
    </w:p>
    <w:p>
      <w:pPr>
        <w:pStyle w:val="[Normal]"/>
        <w:spacing w:line="360" w:lineRule="auto"/>
        <w:ind w:firstLine="1134"/>
        <w:jc w:val="both"/>
        <w:rPr>
          <w:lang w:val="es-AR" w:eastAsia="es-AR" w:bidi="es-AR"/>
        </w:rPr>
      </w:pPr>
      <w:r>
        <w:rPr>
          <w:lang w:val="es-AR" w:eastAsia="es-AR" w:bidi="es-AR"/>
        </w:rPr>
        <w:t xml:space="preserve">Imponer costas de Alzada a la actora vencida (Art 68/9 CPCC).-</w:t>
      </w:r>
    </w:p>
    <w:p>
      <w:pPr>
        <w:pStyle w:val="[Normal]"/>
        <w:spacing w:line="360" w:lineRule="auto"/>
        <w:ind w:firstLine="1134"/>
        <w:jc w:val="both"/>
        <w:rPr>
          <w:lang w:val="es-AR" w:eastAsia="es-AR" w:bidi="es-AR"/>
        </w:rPr>
      </w:pPr>
      <w:r>
        <w:rPr>
          <w:lang w:val="es-AR" w:eastAsia="es-AR" w:bidi="es-AR"/>
        </w:rPr>
        <w:t xml:space="preserve">Diferir la regulación de honorarios para su oportunidad (Art 31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10:31:39 -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10:33:58 -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07/10/2025 10:51:00 -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‰6z")è&amp;`K"^Š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229002090006644302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07/10/2025 10:51:11 hs. bajo el número RS-138-2025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