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5699-25</w:t>
      </w:r>
      <w:r>
        <w:rPr>
          <w:lang w:val="es-AR" w:eastAsia="es-AR" w:bidi="es-AR"/>
        </w:rPr>
        <w:t xml:space="preserve"> caratulada </w:t>
      </w:r>
      <w:r>
        <w:rPr>
          <w:b/>
          <w:lang w:val="es-AR" w:eastAsia="es-AR" w:bidi="es-AR"/>
        </w:rPr>
        <w:t xml:space="preserve">"</w:t>
      </w:r>
      <w:r>
        <w:rPr>
          <w:b/>
          <w:color w:val="000000"/>
          <w:lang w:val="es-AR" w:eastAsia="es-AR" w:bidi="es-AR"/>
        </w:rPr>
        <w:t xml:space="preserve">CAPORALINI ALFREDO CLEMENTE C/ CAPORALINI ADALIA Y OTROS  S/ PRESCRIPCION ADQUISITIVA LARGA</w:t>
      </w:r>
      <w:r>
        <w:rPr>
          <w:b/>
          <w:lang w:val="es-AR" w:eastAsia="es-AR" w:bidi="es-AR"/>
        </w:rPr>
        <w:t xml:space="preserve">"</w:t>
      </w:r>
      <w:r>
        <w:rPr>
          <w:lang w:val="es-AR" w:eastAsia="es-AR" w:bidi="es-AR"/>
        </w:rPr>
        <w:t xml:space="preserve">, Expte. N°64.957 del Juzgado en lo Civil y Comercial N°3,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rechazó la demanda que por prescripcion adquisitiva promovió Caporalini Alfredo Clemente contra Teresa Picarelli y Gazzanessi, José Picarelli y Gazzanessi, María del Carmen Picarelli y Gazzanessi, Gregorio Omar Picarelli y Caporalini, Silvia Beatriz Picarelli y Caporallini y Adalia Caporallini en su caracter de herederos de  Gregorio, Orlando, Carmelo, Agustín, Antonio y Lucia Beatriz Picarelli y Gazzanessi y María Inés, José Luis Picarelli y Fragapane en caracter de herederos de Salvador Luis Picarelli y Gazzanessi sobre el bien inmueble identificado en autos. Impuso las costas a la parte actora y difirió la regulación de honorarios.-</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parte actora en fecha 23-5-2025, quien expresa agravios el 5-6-2025, habiendo la Defensora Oficial contestado el traslado en fecha 18-6-2025.-</w:t>
      </w:r>
    </w:p>
    <w:p>
      <w:pPr>
        <w:pStyle w:val="[Normal]"/>
        <w:spacing w:line="360" w:lineRule="auto"/>
        <w:ind w:firstLine="1134"/>
        <w:jc w:val="both"/>
        <w:rPr>
          <w:lang w:val="es-AR" w:eastAsia="es-AR" w:bidi="es-AR"/>
        </w:rPr>
      </w:pPr>
      <w:r>
        <w:rPr>
          <w:lang w:val="es-AR" w:eastAsia="es-AR" w:bidi="es-AR"/>
        </w:rPr>
        <w:t xml:space="preserve">En fecha 26-6-2025 se dictó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Centra su crítica la actora en el rechazo que hiciere el a quo sobre la demanda de</w:t>
      </w:r>
      <w:r>
        <w:rPr>
          <w:b/>
          <w:lang w:val="es-AR" w:eastAsia="es-AR" w:bidi="es-AR"/>
        </w:rPr>
        <w:t xml:space="preserve"> </w:t>
      </w:r>
      <w:r>
        <w:rPr>
          <w:lang w:val="es-AR" w:eastAsia="es-AR" w:bidi="es-AR"/>
        </w:rPr>
        <w:t xml:space="preserve">usucapión por ella entablada.-</w:t>
      </w:r>
    </w:p>
    <w:p>
      <w:pPr>
        <w:pStyle w:val="[Normal]"/>
        <w:spacing w:line="360" w:lineRule="auto"/>
        <w:ind w:firstLine="1134"/>
        <w:jc w:val="both"/>
        <w:rPr>
          <w:lang w:val="es-AR" w:eastAsia="es-AR" w:bidi="es-AR"/>
        </w:rPr>
      </w:pPr>
      <w:r>
        <w:rPr>
          <w:lang w:val="es-AR" w:eastAsia="es-AR" w:bidi="es-AR"/>
        </w:rPr>
        <w:t xml:space="preserve">Se duele de la desestimación de la prueba testimonial realizada por el magistrado de grado.- </w:t>
      </w:r>
    </w:p>
    <w:p>
      <w:pPr>
        <w:pStyle w:val="[Normal]"/>
        <w:spacing w:line="360" w:lineRule="auto"/>
        <w:ind w:firstLine="1134"/>
        <w:jc w:val="both"/>
        <w:rPr>
          <w:lang w:val="es-AR" w:eastAsia="es-AR" w:bidi="es-AR"/>
        </w:rPr>
      </w:pPr>
      <w:r>
        <w:rPr>
          <w:lang w:val="es-AR" w:eastAsia="es-AR" w:bidi="es-AR"/>
        </w:rPr>
        <w:t xml:space="preserve">Manifiesta que de las declaraciones surge que las testigos conocen al actor desde hace décadas y dieron detalles concretos de la posesión ejercida: mantenimiento, cercado, techado, uso del predio por terceros con permiso del actor y reconocimiento público de que el inmueble pertenece a Caporalini.-</w:t>
      </w:r>
    </w:p>
    <w:p>
      <w:pPr>
        <w:pStyle w:val="[Normal]"/>
        <w:spacing w:line="360" w:lineRule="auto"/>
        <w:ind w:firstLine="1134"/>
        <w:jc w:val="both"/>
        <w:rPr>
          <w:lang w:val="es-AR" w:eastAsia="es-AR" w:bidi="es-AR"/>
        </w:rPr>
      </w:pPr>
      <w:r>
        <w:rPr>
          <w:lang w:val="es-AR" w:eastAsia="es-AR" w:bidi="es-AR"/>
        </w:rPr>
        <w:t xml:space="preserve">Cuestiona la escasa entidad atribuida a los pagos de impuestos provinciales y tasas municipales afirmando que los comprobantes acreditan pagos que datan de períodos desde 2001 en adelante, incluso mediante planes de regularización, lo que evidencia el cumplimiento de cargas propias del propietario.-</w:t>
      </w:r>
    </w:p>
    <w:p>
      <w:pPr>
        <w:pStyle w:val="[Normal]"/>
        <w:spacing w:line="360" w:lineRule="auto"/>
        <w:ind w:firstLine="1134"/>
        <w:jc w:val="both"/>
        <w:rPr>
          <w:lang w:val="es-AR" w:eastAsia="es-AR" w:bidi="es-AR"/>
        </w:rPr>
      </w:pPr>
      <w:r>
        <w:rPr>
          <w:lang w:val="es-AR" w:eastAsia="es-AR" w:bidi="es-AR"/>
        </w:rPr>
        <w:t xml:space="preserve">Advierte que la prueba en su conjunto (testimonios, pagos, mantenimiento, ausencia de oposición de los titulares registrales o sus herederos, notificados en autos) acredita el ánimo de dueño durante más de 20 años, sin turbaciones ni reclamos.-</w:t>
      </w:r>
    </w:p>
    <w:p>
      <w:pPr>
        <w:pStyle w:val="[Normal]"/>
        <w:spacing w:line="360" w:lineRule="auto"/>
        <w:ind w:firstLine="1134"/>
        <w:jc w:val="both"/>
        <w:rPr>
          <w:lang w:val="es-AR" w:eastAsia="es-AR" w:bidi="es-AR"/>
        </w:rPr>
      </w:pPr>
      <w:r>
        <w:rPr>
          <w:lang w:val="es-AR" w:eastAsia="es-AR" w:bidi="es-AR"/>
        </w:rPr>
        <w:t xml:space="preserve">Sostiene que la acción fue ejercida con fundamento legítimo y que la prueba producida resulta suficiente para acreditar la prescripción adquisitiva.-</w:t>
      </w:r>
    </w:p>
    <w:p>
      <w:pPr>
        <w:pStyle w:val="[Normal]"/>
        <w:spacing w:line="360" w:lineRule="auto"/>
        <w:ind w:firstLine="1134"/>
        <w:jc w:val="both"/>
        <w:rPr>
          <w:lang w:val="es-AR" w:eastAsia="es-AR" w:bidi="es-AR"/>
        </w:rPr>
      </w:pPr>
      <w:r>
        <w:rPr>
          <w:lang w:val="es-AR" w:eastAsia="es-AR" w:bidi="es-AR"/>
        </w:rPr>
        <w:t xml:space="preserve">Solicita se revoque la sentencia atacada y se haga lugar a la demanda de usucapión.-</w:t>
      </w:r>
    </w:p>
    <w:p>
      <w:pPr>
        <w:pStyle w:val="[Normal]"/>
        <w:spacing w:line="360" w:lineRule="auto"/>
        <w:ind w:firstLine="1134"/>
        <w:jc w:val="both"/>
        <w:rPr>
          <w:lang w:val="es-AR" w:eastAsia="es-AR" w:bidi="es-AR"/>
        </w:rPr>
      </w:pPr>
      <w:r>
        <w:rPr>
          <w:lang w:val="es-AR" w:eastAsia="es-AR" w:bidi="es-AR"/>
        </w:rPr>
        <w:t xml:space="preserve">A su turno la defensora oficial, rebate los argumentos expuestos por la actora y pide se confirme la sentencia de grado.-</w:t>
      </w:r>
    </w:p>
    <w:p>
      <w:pPr>
        <w:pStyle w:val="[Normal]"/>
        <w:spacing w:line="360" w:lineRule="auto"/>
        <w:ind w:firstLine="1134"/>
        <w:jc w:val="both"/>
        <w:rPr>
          <w:lang w:val="es-AR" w:eastAsia="es-AR" w:bidi="es-AR"/>
        </w:rPr>
      </w:pPr>
      <w:r>
        <w:rPr>
          <w:lang w:val="es-AR" w:eastAsia="es-AR" w:bidi="es-AR"/>
        </w:rPr>
        <w:t xml:space="preserve">Entrando a resolver,  es claro el interés social comprometido en la cuestión, desde que al exigirse la posesión de la cosa como fundamento fáctico para acceder a ella por la vía de la prescripción adquisitiva, supone la actuación útil de quien no tiene la propiedad y que, sin embargo, la conserva frente a la inactividad del dueño.-</w:t>
      </w:r>
    </w:p>
    <w:p>
      <w:pPr>
        <w:pStyle w:val="[Normal]"/>
        <w:spacing w:line="360" w:lineRule="auto"/>
        <w:ind w:firstLine="1134"/>
        <w:jc w:val="both"/>
        <w:rPr>
          <w:lang w:val="es-AR" w:eastAsia="es-AR" w:bidi="es-AR"/>
        </w:rPr>
      </w:pPr>
      <w:r>
        <w:rPr>
          <w:lang w:val="es-AR" w:eastAsia="es-AR" w:bidi="es-AR"/>
        </w:rPr>
        <w:t xml:space="preserve">Cuadra destacar que 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tanto, corresponde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lang w:val="es-AR" w:eastAsia="es-AR" w:bidi="es-AR"/>
        </w:rPr>
      </w:pPr>
      <w:r>
        <w:rPr>
          <w:lang w:val="es-AR" w:eastAsia="es-AR" w:bidi="es-AR"/>
        </w:rPr>
        <w:t xml:space="preserve">Respecto del primero de los recaudos -corpus-, ha de considerarse que de los testimonios brindados en autos por Mirta Noemi Amici, Teresa Luján Alvarez y Susana Lidia Aitta, se desprende que el terreno por el que se inicia la presente acción es baldío, se encuentra alambrado con una puerta de chapa y luce adentro un techo donde un vecino guarda el auto con autorización del actor.-</w:t>
      </w:r>
    </w:p>
    <w:p>
      <w:pPr>
        <w:pStyle w:val="[Normal]"/>
        <w:spacing w:line="360" w:lineRule="auto"/>
        <w:ind w:firstLine="1134"/>
        <w:jc w:val="both"/>
        <w:rPr>
          <w:lang w:val="es-AR" w:eastAsia="es-AR" w:bidi="es-AR"/>
        </w:rPr>
      </w:pPr>
      <w:r>
        <w:rPr>
          <w:lang w:val="es-AR" w:eastAsia="es-AR" w:bidi="es-AR"/>
        </w:rPr>
        <w:t xml:space="preserve">Respecto de la</w:t>
      </w:r>
      <w:r>
        <w:rPr>
          <w:b/>
          <w:lang w:val="es-AR" w:eastAsia="es-AR" w:bidi="es-AR"/>
        </w:rPr>
        <w:t xml:space="preserve"> </w:t>
      </w:r>
      <w:r>
        <w:rPr>
          <w:lang w:val="es-AR" w:eastAsia="es-AR" w:bidi="es-AR"/>
        </w:rPr>
        <w:t xml:space="preserve">prueba testimonial, cabe recordar que la misma es insuficiente por sí sola, siendo preciso por tanto confrontar o ratificar los dichos de los testigos con otras pruebas</w:t>
      </w:r>
      <w:r>
        <w:rPr>
          <w:b/>
          <w:i/>
          <w:lang w:val="es-AR" w:eastAsia="es-AR" w:bidi="es-AR"/>
        </w:rPr>
        <w:t xml:space="preserve"> </w:t>
      </w:r>
      <w:r>
        <w:rPr>
          <w:lang w:val="es-AR" w:eastAsia="es-AR" w:bidi="es-AR"/>
        </w:rPr>
        <w:t xml:space="preserve">que reflejen esos mismos hechos, es decir, que acrediten sus referencias (cfr. Cám. Civ. y Com. 2°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veinteañal (CC0203 LP 112039 RSD-36-10 S 13-4-2012, Juez MENDIVIL (SD) JUBA B355325).-</w:t>
      </w:r>
    </w:p>
    <w:p>
      <w:pPr>
        <w:pStyle w:val="[Normal]"/>
        <w:spacing w:line="360" w:lineRule="auto"/>
        <w:ind w:firstLine="1134"/>
        <w:jc w:val="both"/>
        <w:rPr>
          <w:lang w:val="es-AR" w:eastAsia="es-AR" w:bidi="es-AR"/>
        </w:rPr>
      </w:pPr>
      <w:r>
        <w:rPr>
          <w:lang w:val="es-AR" w:eastAsia="es-AR" w:bidi="es-AR"/>
        </w:rPr>
        <w:t xml:space="preserve">En esta tónica, no se han producido otros medios probatorios  (compra de materiales de construcción, pago de trabajos de albañilería, limpieza del terreno, entre otros) que puedan corroborar lo manifestado por los testigos ofrecidos.-</w:t>
      </w:r>
    </w:p>
    <w:p>
      <w:pPr>
        <w:pStyle w:val="[Normal]"/>
        <w:spacing w:line="360" w:lineRule="auto"/>
        <w:ind w:firstLine="1134"/>
        <w:jc w:val="both"/>
        <w:rPr>
          <w:lang w:val="es-AR" w:eastAsia="es-AR" w:bidi="es-AR"/>
        </w:rPr>
      </w:pPr>
      <w:r>
        <w:rPr>
          <w:lang w:val="es-AR" w:eastAsia="es-AR" w:bidi="es-AR"/>
        </w:rPr>
        <w:t xml:space="preserve">Respecto al otro extremo -animus-, debe probarse no sólo la posesión animus domini actual, sino también la anterior y especialmente la que tuviera al inicio de la ocupación, como único medio de demostrar el cumplimiento del plazo legal (cfr. CC0003 SM 66994 D-145/12 S 14/11/2013 Juez PEREZ (SD) JUBA B3651195).-</w:t>
      </w:r>
    </w:p>
    <w:p>
      <w:pPr>
        <w:pStyle w:val="[Normal]"/>
        <w:spacing w:line="360" w:lineRule="auto"/>
        <w:ind w:firstLine="1134"/>
        <w:jc w:val="both"/>
        <w:rPr>
          <w:lang w:val="es-AR" w:eastAsia="es-AR" w:bidi="es-AR"/>
        </w:rPr>
      </w:pPr>
      <w:r>
        <w:rPr>
          <w:lang w:val="es-AR" w:eastAsia="es-AR" w:bidi="es-AR"/>
        </w:rPr>
        <w:t xml:space="preserve">Obran glosados en autos recibos correspondientes a impuestos inmobiliarios, tasa de limpieza y conservación, servicios sanitarios y alumbrado público. Sin embargo, se observa que el recibo más antiguo abonado por la parte actora data del año 2018, mientras que afirma ocupar el inmueble desde hace más de treinta años.-</w:t>
      </w:r>
    </w:p>
    <w:p>
      <w:pPr>
        <w:pStyle w:val="[Normal]"/>
        <w:spacing w:line="360" w:lineRule="auto"/>
        <w:ind w:firstLine="1134"/>
        <w:jc w:val="both"/>
        <w:rPr>
          <w:lang w:val="es-AR" w:eastAsia="es-AR" w:bidi="es-AR"/>
        </w:rPr>
      </w:pPr>
      <w:r>
        <w:rPr>
          <w:lang w:val="es-AR" w:eastAsia="es-AR" w:bidi="es-AR"/>
        </w:rPr>
        <w:t xml:space="preserve">Tal circunstancia adquiere relevancia, pues el pago de impuestos realizado en fechas cercanas al inicio de una demanda de usucapión generalmente no se considera prueba suficiente para acreditar la posesión, pudiendo interpretarse, en cambio, como un intento de preconstituir prueba antes que como una verdadera manifestación del ánimo de dueño.-</w:t>
      </w:r>
    </w:p>
    <w:p>
      <w:pPr>
        <w:pStyle w:val="[Normal]"/>
        <w:spacing w:line="360" w:lineRule="auto"/>
        <w:ind w:firstLine="1134"/>
        <w:jc w:val="both"/>
        <w:rPr>
          <w:lang w:val="es-AR" w:eastAsia="es-AR" w:bidi="es-AR"/>
        </w:rPr>
      </w:pPr>
      <w:r>
        <w:rPr>
          <w:lang w:val="es-AR" w:eastAsia="es-AR" w:bidi="es-AR"/>
        </w:rPr>
        <w:t xml:space="preserve">En este sentido se ha dicho jurisprudencialmente que "</w:t>
      </w:r>
      <w:r>
        <w:rPr>
          <w:i/>
          <w:lang w:val="es-AR" w:eastAsia="es-AR" w:bidi="es-AR"/>
        </w:rPr>
        <w:t xml:space="preserve">El pago de impuestos en un sólo acto y pocos años antes de iniciarse la demanda de usucapión, puede ser considerado válidamente como carente de valor probatorio, ya que no es demostrativo de un pago más o menos regular</w:t>
      </w:r>
      <w:r>
        <w:rPr>
          <w:lang w:val="es-AR" w:eastAsia="es-AR" w:bidi="es-AR"/>
        </w:rPr>
        <w:t xml:space="preserve">" (CC0002 MO 34081 RSD-403-95 S 17/10/1995 JUBA B2350745).-</w:t>
      </w:r>
    </w:p>
    <w:p>
      <w:pPr>
        <w:pStyle w:val="[Normal]"/>
        <w:spacing w:line="360" w:lineRule="auto"/>
        <w:ind w:firstLine="1134"/>
        <w:jc w:val="both"/>
        <w:rPr>
          <w:lang w:val="es-AR" w:eastAsia="es-AR" w:bidi="es-AR"/>
        </w:rPr>
      </w:pPr>
      <w:r>
        <w:rPr>
          <w:lang w:val="es-AR" w:eastAsia="es-AR" w:bidi="es-AR"/>
        </w:rPr>
        <w:t xml:space="preserve">De ahí que del análisis integral de la prueba producida en autos no surge acreditado acto posesorio alguno por parte de los actores que revele la intención de ejercer un poder de hecho sobre el bien que según dicen poseen hace más de 30 años. La prueba testimonial carece de suficiente respaldo documental y los pocos elementos incorporados (facturas, tasas, servicios) no alcanzan para acreditar la posesión continua, pública y pacífica por el plazo legal (Arts. 1899, 1915, 1928 y ss del CCyC; Arts. 375,384 y ccts CPCC).-</w:t>
      </w:r>
    </w:p>
    <w:p>
      <w:pPr>
        <w:pStyle w:val="[Normal]"/>
        <w:spacing w:line="360" w:lineRule="auto"/>
        <w:ind w:firstLine="1134"/>
        <w:jc w:val="both"/>
        <w:rPr>
          <w:lang w:val="es-AR" w:eastAsia="es-AR" w:bidi="es-AR"/>
        </w:rPr>
      </w:pPr>
      <w:r>
        <w:rPr>
          <w:lang w:val="es-AR" w:eastAsia="es-AR" w:bidi="es-AR"/>
        </w:rPr>
        <w:t xml:space="preserve">Por todo lo expuesto, no encontrándose acreditado ninguno de los extremos exigidos por la normativa aplicable en la materia por el plazo requerido por la ley, estimo ajustada a derecho la decisión del primer juzgador.-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la sentencia atacada.-</w:t>
      </w:r>
    </w:p>
    <w:p>
      <w:pPr>
        <w:pStyle w:val="[Normal]"/>
        <w:spacing w:line="360" w:lineRule="auto"/>
        <w:ind w:firstLine="1134"/>
        <w:jc w:val="both"/>
        <w:rPr>
          <w:lang w:val="es-AR" w:eastAsia="es-AR" w:bidi="es-AR"/>
        </w:rPr>
      </w:pPr>
      <w:r>
        <w:rPr>
          <w:lang w:val="es-AR" w:eastAsia="es-AR" w:bidi="es-AR"/>
        </w:rPr>
        <w:t xml:space="preserve">Imponer costas de Alzada a la actora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consecuencia confirmar la sentencia atacada.-</w:t>
      </w:r>
    </w:p>
    <w:p>
      <w:pPr>
        <w:pStyle w:val="[Normal]"/>
        <w:spacing w:line="360" w:lineRule="auto"/>
        <w:ind w:firstLine="1134"/>
        <w:jc w:val="both"/>
        <w:rPr>
          <w:lang w:val="es-AR" w:eastAsia="es-AR" w:bidi="es-AR"/>
        </w:rPr>
      </w:pPr>
      <w:r>
        <w:rPr>
          <w:lang w:val="es-AR" w:eastAsia="es-AR" w:bidi="es-AR"/>
        </w:rPr>
        <w:t xml:space="preserve">Imponer costas de Alzada a la actora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10:31:28 -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10:33:42 -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10:48:33 -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‰8ƒ")è&amp;`Xd[Š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249902090006645668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10:48:59 hs. bajo el número RS-137-2025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