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5501-24</w:t>
      </w:r>
      <w:r>
        <w:rPr>
          <w:lang w:val="es-AR" w:eastAsia="es-AR" w:bidi="es-AR"/>
        </w:rPr>
        <w:t xml:space="preserve"> caratulada </w:t>
      </w:r>
      <w:r>
        <w:rPr>
          <w:b/>
          <w:lang w:val="es-AR" w:eastAsia="es-AR" w:bidi="es-AR"/>
        </w:rPr>
        <w:t xml:space="preserve">"</w:t>
      </w:r>
      <w:r>
        <w:rPr>
          <w:b/>
          <w:color w:val="000000"/>
          <w:lang w:val="es-AR" w:eastAsia="es-AR" w:bidi="es-AR"/>
        </w:rPr>
        <w:t xml:space="preserve">ESTIGARRIBIA WALTER JAVIER C/ BAIBONA PABLO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77.683</w:t>
      </w:r>
      <w:r>
        <w:rPr>
          <w:color w:val="000000"/>
          <w:lang w:val="es-AR" w:eastAsia="es-AR" w:bidi="es-AR"/>
        </w:rPr>
        <w:t xml:space="preserve"> </w:t>
      </w:r>
      <w:r>
        <w:rPr>
          <w:lang w:val="es-AR" w:eastAsia="es-AR" w:bidi="es-AR"/>
        </w:rPr>
        <w:t xml:space="preserve">del Juzgado en lo Civil y Comercial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sobrevenida de los arts. 7 y 10 de la ley 23.928, según ley 25.561 del mismo modo que su inaplicabilidad al caso, y dispuso una equitativa actualización del crédito adeudado.  Hizo lugar a la demanda instaurada por el Sr. Walter Javier Estigarribia, condenó en consecuencia a la Sra. Celia Beatriz Hardach, el Sr. Pablo Baibona y a la citada en garantía Segurometal Cooperativa de Seguros Limitada, a abonar al actor dentro de los diez días de notificada la presente, la suma de diez millones setecientos cincuenta y dos mil seiscientos cincuenta y dos Pesos ($10.752.652), actualizable según lo dispuesto en el considerando VIII, con más sus respectivos intereses calculados en la forma establecida en el considerando VII, a partir de la fecha del hecho (11/12/2021) y hasta el momento de su efectivo pago (S.C.B.A., Ac. 2078, C-95.720 del 15/09/2010 y L-118615 del 11/03/2015) (art. 768 C.C.C.N.).  Aplicó las costas a la parte demandada y a la citada en garantía que resultan vencidas (art. 68 C.P.C.).  Difirió la regulación de honorarios de los letrados intervinientes y de los peritos, hasta que medie firme la respectiva liquidación de intereses y gastos (art. 51 ley 14.967). -</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 ambos el día 11-11-2024, por la parte actora y por la citada en garantía; concedidos libremente y en efecto suspensivo el 14-11-2024.  Elevados los autos a esta Alzada con fecha 5-12-2024 se ordenó expresar agravios a la parte actora, quien los fundó el 6-12-2024.  El día 10-12-2024 se ordenó expresar agravios a la Citada en Garantía, fundados el 16-12-2024.  Con fecha 6-3-2025 se ordenaron los traslados, los que fueron evacuados por la parte actora (11-3-2025) y por la citada en garantía (15-3-2025). </w:t>
      </w:r>
    </w:p>
    <w:p>
      <w:pPr>
        <w:pStyle w:val="[Normal]"/>
        <w:spacing w:line="360" w:lineRule="auto"/>
        <w:ind w:firstLine="1134"/>
        <w:jc w:val="both"/>
        <w:rPr>
          <w:lang w:val="es-AR" w:eastAsia="es-AR" w:bidi="es-AR"/>
        </w:rPr>
      </w:pPr>
      <w:r>
        <w:rPr>
          <w:lang w:val="es-AR" w:eastAsia="es-AR" w:bidi="es-AR"/>
        </w:rPr>
        <w:t xml:space="preserve">El  18-3-2025 no habiendo la parte demandada evacuado el traslado conferido, se le dió por perdido el derecho dejado de usar y se llamó autos para dictar sentencia.</w:t>
      </w:r>
    </w:p>
    <w:p>
      <w:pPr>
        <w:pStyle w:val="[Normal]"/>
        <w:spacing w:line="360" w:lineRule="auto"/>
        <w:ind w:firstLine="1134"/>
        <w:jc w:val="both"/>
        <w:rPr>
          <w:lang w:val="es-AR" w:eastAsia="es-AR" w:bidi="es-AR"/>
        </w:rPr>
      </w:pPr>
      <w:r>
        <w:rPr>
          <w:lang w:val="es-AR" w:eastAsia="es-AR" w:bidi="es-AR"/>
        </w:rPr>
        <w:t xml:space="preserve">Con todo, ante el estado de duda subsistente en relación a la incapacidad denunciada, este Tribunal decidió suspender los autos para sentencia y ordenar como medida para mejor proveer la producción de nueva pericia médica en fecha 29/4/2025 y 17/7/2025, las que  fueron evacuadas en fecha 8/5/2025 y 9/11/2025 respectivamente. Tras lo cual, se dispuso la reanudación definitiva de los autos en fecha 16/9/25, providencia, que firme a la fecha dejó la causa en condiciones de ser fallada. </w:t>
      </w:r>
    </w:p>
    <w:p>
      <w:pPr>
        <w:pStyle w:val="[Normal]"/>
        <w:spacing w:line="360" w:lineRule="auto"/>
        <w:ind w:firstLine="1134"/>
        <w:jc w:val="both"/>
        <w:rPr>
          <w:color w:val="000000"/>
          <w:lang w:val="es-AR" w:eastAsia="es-AR" w:bidi="es-AR"/>
        </w:rPr>
      </w:pPr>
      <w:r>
        <w:rPr>
          <w:color w:val="000000"/>
          <w:lang w:val="es-AR" w:eastAsia="es-AR" w:bidi="es-AR"/>
        </w:rPr>
        <w:t xml:space="preserve"> En sustento de su crítica recursiva, la parte actora planteó los siguientes puntos de agravio: 1) nulidad de la prueba de extracción de sangre por violación del protocolo de extracción por cuanto se habría asegurado la cadena de fría -conservación a 4 del material orgánico- ni tampoco verificado regularmente la custodia sobre las muestras extraídas al accionante -utilización de un envase sin lacrar-, 2) insuficiente fundamentación de la pericia médica por cuanto se basa en vagas consideraciones sin rigor científico que las soporte, incurre en imprecisiones y no considera hechos evidentes, 3) incorrecta determinación del ingreso de la víctima al no considerarse, pese a tratarse de un trabajador informal, de la prueba testimonial producida en la causa en tanto reveladora de mayores ganancias, 4) cuantificación insuficiente del rubro daño moral teniendo en cuenta el carácter permanente de las secuelas y el tiempo que insumió la rehabilitación, 5) falta de actualización del límite máximo de cobertura contratado en controvención a la doctrina legal de la SCBA, 6) Falta de reconocimiento de gastos médicos como consecuencia de la pericia infundada que fuera tenida en cuenta por el a quo. 7) No aplicabilidad de la doctrina Barrios por el tramo anterior a la sentencia de primera instancia.</w:t>
      </w:r>
    </w:p>
    <w:p>
      <w:pPr>
        <w:pStyle w:val="[Normal]"/>
        <w:spacing w:line="360" w:lineRule="auto"/>
        <w:jc w:val="both"/>
        <w:rPr>
          <w:color w:val="000000"/>
          <w:lang w:val="es-AR" w:eastAsia="es-AR" w:bidi="es-AR"/>
        </w:rPr>
      </w:pPr>
      <w:r>
        <w:rPr>
          <w:color w:val="000000"/>
          <w:lang w:val="es-AR" w:eastAsia="es-AR" w:bidi="es-AR"/>
        </w:rPr>
        <w:t xml:space="preserve"> 	A su turno, la citada en garantía explicita los distintos puntos de disconformidad con la sentencia apelada. En este sentido, puntualiza: 1) imputación de responsabilidad a la parte demandada por cuanto la culpa de la parte actora habría operado como aporte causal exclusivo del daño atento a la velocidad del vehículo del accionante, la falta de frenado y la ingesta de alcohol en una proporción tres veces superior a la permitida por parte de éste, 2) errónea determinación del ingreso anual del apelante por cuanto se adoptó íntegramente el SMV, se contempló el SAC como concepto integrativo -siendo que no se habrían probado sumas de dinero percibidas-, se convalidó una tasa de descuento del 4% en contra del criterio del 6% asumido por la Cámara departamental, 3) cuantificación exhorbitante del daño moral por cuanto no hay referencia de padecimientos y/o angustias sufridas por el accionante, 4) Indebido reconocimiento del rubro gastos médicos ante la ausencia de prueba producida.</w:t>
      </w:r>
    </w:p>
    <w:p>
      <w:pPr>
        <w:pStyle w:val="[Normal]"/>
        <w:spacing w:line="360" w:lineRule="auto"/>
        <w:jc w:val="both"/>
        <w:rPr>
          <w:color w:val="000000"/>
          <w:lang w:val="es-AR" w:eastAsia="es-AR" w:bidi="es-AR"/>
        </w:rPr>
      </w:pPr>
      <w:r>
        <w:rPr>
          <w:color w:val="000000"/>
          <w:lang w:val="es-AR" w:eastAsia="es-AR" w:bidi="es-AR"/>
        </w:rPr>
        <w:t xml:space="preserve"> 	Al momento de evacuar el traslado correspondiente a la expresión de agravios presentado por la contraria, la parte actora solicita el rechazo de los agravios de la demandada, comenzando por cuestionar la imputación de alcoholemia al actor, dado que la extracción y custodia de sangre fue realizada en violación al protocolo sanitario careciendo de validez jurídica.   Sostiene que atribuir responsabilidad al actor como </w:t>
      </w:r>
      <w:r>
        <w:rPr>
          <w:i/>
          <w:color w:val="000000"/>
          <w:lang w:val="es-AR" w:eastAsia="es-AR" w:bidi="es-AR"/>
        </w:rPr>
        <w:t xml:space="preserve">“embistente físico”</w:t>
      </w:r>
      <w:r>
        <w:rPr>
          <w:color w:val="000000"/>
          <w:lang w:val="es-AR" w:eastAsia="es-AR" w:bidi="es-AR"/>
        </w:rPr>
        <w:t xml:space="preserve"> carece de seriedad, siendo la maniobra de giro a la izquierda de la demandada la causa exclusiva y excluyente del siniestro. En materia indemnizatoria, se defiende la razonabilidad de lo fijado por el juez de grado, destacando la condición laboral de albañil del actor y la insuficiencia de la pericia médica practicada. Finalmente, rebate la negativa de gastos médicos, recordando que en autos obran constancias de prótesis ya abonadas y de gastos futuros reconocidos, solicitándose se confirme lo resuelto en primera instancia.</w:t>
      </w:r>
    </w:p>
    <w:p>
      <w:pPr>
        <w:pStyle w:val="[Normal]"/>
        <w:spacing w:line="360" w:lineRule="auto"/>
        <w:jc w:val="both"/>
        <w:rPr>
          <w:lang w:val="es-AR" w:eastAsia="es-AR" w:bidi="es-AR"/>
        </w:rPr>
      </w:pPr>
      <w:r>
        <w:rPr>
          <w:color w:val="000000"/>
          <w:lang w:val="es-AR" w:eastAsia="es-AR" w:bidi="es-AR"/>
        </w:rPr>
        <w:t xml:space="preserve">  	En su oportunidad, la citada en garantía rebate la apelación planteada por la actora. En primer término, se solicita declarar desierto el recurso por incumplir el art. 260 CPC, al no contener crítica concreta y razonada sino meras discrepancias subjetivas. Se defiende la validez de la alcoholemia (0,83 g/l), confirmada por resoluciones penales, considerándose al actor exclusivo responsable del siniestro por conducir ebrio. Se respalda la pericia médica que determinó incapacidad del 28%, tachando de infundadas las críticas del actor. Se cuestiona la fijación de ingresos sobre la base del SMVM sin acreditación probatoria, y se pide morigerar los montos indemnizatorios (incluyendo daño moral, gastos médicos y lucro cesante) por constituir enriquecimiento indebido. Se rechaza la aplicación de la doctrina “Barrios” y la actualización de la póliza, solicitándose en definitiva revocar la sentencia y rechazar la demanda con costas al actor.</w:t>
        <w:br w:type="textWrapping"/>
      </w:r>
      <w:r>
        <w:rPr>
          <w:color w:val="000000"/>
          <w:lang w:val="es-AR" w:eastAsia="es-AR" w:bidi="es-AR"/>
        </w:rPr>
        <w:t xml:space="preserve"> 	</w:t>
      </w:r>
      <w:r>
        <w:rPr>
          <w:lang w:val="es-AR" w:eastAsia="es-AR" w:bidi="es-AR"/>
        </w:rPr>
        <w:t xml:space="preserve">Entrando a resolver, la cuestión sometida a revisión ha quedado establecida en relación a la juridicidad de la responsabilidad atribuida al  demandado respecto a la pretensión indemnizatoria planteada por la parte actora. Y en particular, en punto a la admisión del hecho de la víctima como eximente parcial de responsabilidad y factor limitativo del aporte causal endilgable al accionado. De manera derivada, la segunda cuestión gira en torno a la determinación cualitativa y cuantitativa del resarcimiento impuesto a la parte demandada. Y en tercer y último término, la última temática introducida versa sobre la actualización económica de la condena indemnizatoria. Sobre este trípo de de cuestiones, es posible ordenar la totalidad de los agravios vertidos por las partes.</w:t>
      </w:r>
    </w:p>
    <w:p>
      <w:pPr>
        <w:pStyle w:val="[Normal]"/>
        <w:spacing w:line="360" w:lineRule="auto"/>
        <w:jc w:val="both"/>
        <w:rPr>
          <w:color w:val="000000"/>
          <w:lang w:val="es-AR" w:eastAsia="es-AR" w:bidi="es-AR"/>
        </w:rPr>
      </w:pPr>
      <w:r>
        <w:rPr>
          <w:lang w:val="es-AR" w:eastAsia="es-AR" w:bidi="es-AR"/>
        </w:rPr>
        <w:t xml:space="preserve"> 	En orden al tratamiento de los distintos puntos de agravio, adelanto que asumiré una metodología sistémica y orgánica que agrupe los diversos aspectos críticos según el orden lógico al que responden, y no de acuerdo a la secuencia expositiva en que han sido desarrollados en el escrito de apelación.	</w:t>
        <w:br w:type="textWrapping"/>
      </w:r>
      <w:r>
        <w:rPr>
          <w:lang w:val="es-AR" w:eastAsia="es-AR" w:bidi="es-AR"/>
        </w:rPr>
        <w:t xml:space="preserve"> </w:t>
      </w:r>
      <w:r>
        <w:rPr>
          <w:color w:val="000000"/>
          <w:lang w:val="es-AR" w:eastAsia="es-AR" w:bidi="es-AR"/>
        </w:rPr>
        <w:t xml:space="preserve"> 	I. Ingresando en el primer agravio relativo a la pretendida nulidad sobre las muestra de sangre extraída al actor Walter Javier Estigarribia, he de anticipar mi posición contraria a la recepción positiva del agravio planteado.	</w:t>
        <w:br w:type="textWrapping"/>
      </w:r>
      <w:r>
        <w:rPr>
          <w:color w:val="000000"/>
          <w:lang w:val="es-AR" w:eastAsia="es-AR" w:bidi="es-AR"/>
        </w:rPr>
        <w:t xml:space="preserve"> 	Es que al analizar la crítica  introducida por la defensa, corresponde señalar que no se advierten vicios sustanciales que afecten su validez. En primer lugar, la extracción de sangre al actor fue practicada en el Hospital San José de Pergamino por un enfermero profesional matriculado -Marcelo Echevarría- en presencia de personal policial y testigos, labrándose el acta correspondiente y documentándose la cadena de custodia que obra a fs. 16 de la causa penal 12-00-008314-21/00 que tramita por ante el Juzgado Correccional n°1 de Pergamino.	</w:t>
        <w:br w:type="textWrapping"/>
      </w:r>
      <w:r>
        <w:rPr>
          <w:color w:val="000000"/>
          <w:lang w:val="es-AR" w:eastAsia="es-AR" w:bidi="es-AR"/>
        </w:rPr>
        <w:t xml:space="preserve"> 	A su vez, la documentación incorporada al proceso da cuenta de que la muestra fue identificada, rotulada y colocada en un tubo de plástico cerrado, entregándose al personal policial interviniente, quien rubricó el acta junto al enfermero y testigos. En la cadena de custodia obrante a fs. 17 del expediente referido, se asentó la fecha y hora de extracción (11 de diciembre de 2021 a las 23:15), las condiciones de preservación y los funcionarios responsables en cada eslabón. De este modo, no existe vacío probatorio respecto del resguardo material de la evidencia.	</w:t>
        <w:br w:type="textWrapping"/>
      </w:r>
      <w:r>
        <w:rPr>
          <w:color w:val="000000"/>
          <w:lang w:val="es-AR" w:eastAsia="es-AR" w:bidi="es-AR"/>
        </w:rPr>
        <w:t xml:space="preserve"> 	En cuanto a la conservación y posterior pericia, obra en autos oficio remitido al Laboratorio Químico Pericial de San Nicolás (ver fs. 25), comunicando la recepción de la muestra y fijando fecha para su análisis con custodia reglamentaria. Los informes agregados, tanto del laboratorio como de la Asesoría Pericial Departamental, corroboran que la sustancia fue remitida en sobre cerrado, sin apertura previa hasta el inicio de la pericia, cumpliendo las guías de procedimiento establecidas para resguardar la integridad de las muestras.	</w:t>
        <w:br w:type="textWrapping"/>
      </w:r>
      <w:r>
        <w:rPr>
          <w:color w:val="000000"/>
          <w:lang w:val="es-AR" w:eastAsia="es-AR" w:bidi="es-AR"/>
        </w:rPr>
        <w:t xml:space="preserve"> 	De allí que los órganos judiciales intervinientes en sede penal ya se expidieron sobre el particular, descartando cualquier nulidad. La propia Cámara de Apelación en lo Penal destacó que la muestra fue obtenida por profesional idóneo, remitida con cadena de custodia y peritada por bioquímico habilitado, sin advertirse irregularidades que conduzcan a su invalidación conforme surge del informe de alcoholemia que luce a fs. 74.</w:t>
        <w:br w:type="textWrapping"/>
      </w:r>
      <w:r>
        <w:rPr>
          <w:color w:val="000000"/>
          <w:lang w:val="es-AR" w:eastAsia="es-AR" w:bidi="es-AR"/>
        </w:rPr>
        <w:t xml:space="preserve"> 	En específica relación al embate actoral, la pericia de fs. 49 de la causa penal - que a la postre fuese corroborada por la sentencia de la Cámara departamental del fuero correspondiente- dejó constancia de que el Laboratorio de San Nicolás recibió el material orgánico en sobre cerrado rotulado "Estigarribia Walter Javier" y que en su interior contenía un tubo de plástico con tapón conteniendo 3ml de sangre, sin cadena de frío y con cámara de aire. Que la muestra fue extraída el día 11 de diciembre de 2021 y recibida con su correspondiente cadena de custodia el día 15 d diciembre de 2021.	</w:t>
        <w:br w:type="textWrapping"/>
      </w:r>
      <w:r>
        <w:rPr>
          <w:color w:val="000000"/>
          <w:lang w:val="es-AR" w:eastAsia="es-AR" w:bidi="es-AR"/>
        </w:rPr>
        <w:t xml:space="preserve"> 	En este sentido, comparto la conclusión asumida por el Tribunal Penal departamental de que si la muestra no hubiese estado debidamente conservada o "perjudicada" como postula el letrado recurrente, tal circunstancia habría sido constatada en el informe científico al procederse a la apertura del envase que contenía la sangre, circunstancia que no consta en la documentación respectiva.	</w:t>
        <w:br w:type="textWrapping"/>
      </w:r>
      <w:r>
        <w:rPr>
          <w:color w:val="000000"/>
          <w:lang w:val="es-AR" w:eastAsia="es-AR" w:bidi="es-AR"/>
        </w:rPr>
        <w:t xml:space="preserve"> 	En el análisis de la validez de los medios probatorios, y en particular de aquellos de carácter técnico–científico como lo es la extracción sanguínea, la doctrina y la jurisprudencia son conteste en señalar que la sola transgresión formal de una norma o protocolo no basta por sí misma para descalificar la evidencia. 	</w:t>
        <w:br w:type="textWrapping"/>
      </w:r>
      <w:r>
        <w:rPr>
          <w:color w:val="000000"/>
          <w:lang w:val="es-AR" w:eastAsia="es-AR" w:bidi="es-AR"/>
        </w:rPr>
        <w:t xml:space="preserve"> 	La nulidad procesal constituye una sanción de interpretación restrictiva y, en cuanto tal, exige siempre la acreditación de un perjuicio concreto que comprometa el derecho de defensa en juicio o la confiabilidad de la prueba producida.	</w:t>
        <w:br w:type="textWrapping"/>
      </w:r>
      <w:r>
        <w:rPr>
          <w:color w:val="000000"/>
          <w:lang w:val="es-AR" w:eastAsia="es-AR" w:bidi="es-AR"/>
        </w:rPr>
        <w:t xml:space="preserve"> 	En este sentido, el principio de trascendencia en materia de nulidades requiere que quien invoca la invalidez alegue y demuestre (carga específica) que el vicio le ocasionó un perjuicio cierto e irreparable, que no puede subsanarse sino con la imposición de la sanción.	</w:t>
        <w:br w:type="textWrapping"/>
      </w:r>
      <w:r>
        <w:rPr>
          <w:color w:val="000000"/>
          <w:lang w:val="es-AR" w:eastAsia="es-AR" w:bidi="es-AR"/>
        </w:rPr>
        <w:t xml:space="preserve"> 	No es suficiente la invocación genérica de haberse quebrantado las formas legales. Debe existir y demostrarse agravio concreto y de entidad. Dicho de otro modo, no hay nulidad en el sólo interés de la ley, por cuanto las formas procesales no constituyen un fin en sí mismas, sino que son tan sólo un instrumento de los que se vale el legislador para asegurar la defensa en juicio de las personas y de los derechos (instrumentalidad de las formas).	</w:t>
        <w:br w:type="textWrapping"/>
      </w:r>
      <w:r>
        <w:rPr>
          <w:color w:val="000000"/>
          <w:lang w:val="es-AR" w:eastAsia="es-AR" w:bidi="es-AR"/>
        </w:rPr>
        <w:t xml:space="preserve"> 	Este principio fundamental en materia de nulidades aparece positivizado en el último párrafo del art. 169 en cuanto prevé que: </w:t>
      </w:r>
      <w:r>
        <w:rPr>
          <w:i/>
          <w:color w:val="000000"/>
          <w:lang w:val="es-AR" w:eastAsia="es-AR" w:bidi="es-AR"/>
        </w:rPr>
        <w:t xml:space="preserve">“No se podrá declarar la nulidad, aun en los casos mencionados en los párrafos precedentes, si el acto, no obstante su irregularidad, ha logrado la finalidad a que estaba destinado”</w:t>
      </w:r>
      <w:r>
        <w:rPr>
          <w:color w:val="000000"/>
          <w:lang w:val="es-AR" w:eastAsia="es-AR" w:bidi="es-AR"/>
        </w:rPr>
        <w:t xml:space="preserve">. Y en el primer párrafo del art. 172 que, en su parte pertinente, establece que la parte que promueva el incidente de nulidad </w:t>
      </w:r>
      <w:r>
        <w:rPr>
          <w:i/>
          <w:color w:val="000000"/>
          <w:lang w:val="es-AR" w:eastAsia="es-AR" w:bidi="es-AR"/>
        </w:rPr>
        <w:t xml:space="preserve">“deberá expresar el perjuicio sufrido y el interés que procura subsanar con la declaración”.	</w:t>
      </w:r>
      <w:r>
        <w:rPr>
          <w:color w:val="000000"/>
          <w:lang w:val="es-AR" w:eastAsia="es-AR" w:bidi="es-AR"/>
        </w:rPr>
        <w:br w:type="textWrapping"/>
      </w:r>
      <w:r>
        <w:rPr>
          <w:color w:val="000000"/>
          <w:lang w:val="es-AR" w:eastAsia="es-AR" w:bidi="es-AR"/>
        </w:rPr>
        <w:t xml:space="preserve"> 	En esta línea, este Tribunal ha sostenido que: </w:t>
      </w:r>
      <w:r>
        <w:rPr>
          <w:i/>
          <w:color w:val="000000"/>
          <w:lang w:val="es-AR" w:eastAsia="es-AR" w:bidi="es-AR"/>
        </w:rPr>
        <w:t xml:space="preserve">"El principio de trascendencia en materia de nulidades procesales implica que el nulidicente debe expresar el perjuicio sufrido y las defensas de que se ha visto privado de oponer, porque la apuntada carga procesal no se satisface con la mera y genérica invocación de que se ha violado su derecho de defensa en juicio o el debido proceso (art. 172 del C.P.C.C). (confr. CC0201 LP 119554 RSD 212/15)" (...) "...es necesario que la irregularidad haya colocado a la parte en estado de indefensión, pero no teórica ni abstracta, sino que ha de ser cierta y efectiva." (CC0201 LP 105485 RSD-205/5; esta Cámara causa Nº 2444 RSD 125/15; N° 2518 RSD 41/18). Y no se advierte desde aquí, que en el caso traído ante esta Alzada, se haya violentado la ley y las garantías que se denuncian. (…)”.	</w:t>
      </w:r>
      <w:r>
        <w:rPr>
          <w:color w:val="000000"/>
          <w:lang w:val="es-AR" w:eastAsia="es-AR" w:bidi="es-AR"/>
        </w:rPr>
        <w:t xml:space="preserve">(</w:t>
      </w:r>
      <w:r>
        <w:rPr>
          <w:lang w:val="es-AR" w:eastAsia="es-AR" w:bidi="es-AR"/>
        </w:rPr>
        <w:t xml:space="preserve">Cámara de Apelaciones en lo Civil y Comercial de Pergamino, </w:t>
      </w:r>
      <w:r>
        <w:rPr>
          <w:i/>
          <w:lang w:val="es-AR" w:eastAsia="es-AR" w:bidi="es-AR"/>
        </w:rPr>
        <w:t xml:space="preserve">“Vea Murguia Paola Alejandra C/ Di Gangi Jesus Mauricio S/ Beneficio de Litigar sin gastos”</w:t>
      </w:r>
      <w:r>
        <w:rPr>
          <w:lang w:val="es-AR" w:eastAsia="es-AR" w:bidi="es-AR"/>
        </w:rPr>
        <w:t xml:space="preserve">, Causa n° 4173, 18/3/2021).	</w:t>
      </w:r>
      <w:r>
        <w:rPr>
          <w:color w:val="000000"/>
          <w:lang w:val="es-AR" w:eastAsia="es-AR" w:bidi="es-AR"/>
        </w:rPr>
        <w:br w:type="textWrapping"/>
      </w:r>
      <w:r>
        <w:rPr>
          <w:color w:val="000000"/>
          <w:lang w:val="es-AR" w:eastAsia="es-AR" w:bidi="es-AR"/>
        </w:rPr>
        <w:t xml:space="preserve"> 	Como derivación práctica de lo expuesto, la parcial inobservancia de determinadas pautas contenidas en protocolos administrativos o sanitarios -como pudiera ser la ausencia de un lacrado, una irregularidad menor en la cadena de frío, o la omisión de alguna constancia formal- no alcanza, por sí sola, para privar de eficacia a la pericia de alcoholemia, si no se demuestra que tales defectos tuvieron incidencia directa en la alteración de la muestra, en su contaminación, adulteración o pérdida de aptitud científica. 	</w:t>
        <w:br w:type="textWrapping"/>
      </w:r>
      <w:r>
        <w:rPr>
          <w:color w:val="000000"/>
          <w:lang w:val="es-AR" w:eastAsia="es-AR" w:bidi="es-AR"/>
        </w:rPr>
        <w:t xml:space="preserve"> 	En otras palabras, la validez de la prueba no se mide por la perfección ritual del procedimiento, sino por la fiabilidad sustancial de los resultados obtenidos. Aceptar lo contrario implicaría caer en un excesivo formalismo anulatorio, incompatible con los principios de economía procesal y búsqueda de la verdad material que inspiran el proceso. </w:t>
        <w:br w:type="textWrapping"/>
      </w:r>
      <w:r>
        <w:rPr>
          <w:color w:val="000000"/>
          <w:lang w:val="es-AR" w:eastAsia="es-AR" w:bidi="es-AR"/>
        </w:rPr>
        <w:t xml:space="preserve"> 	En el caso, el agravio se limita a invocar la inobservancia parcial del protocolo previsto por la Resolución 650/2002 del Ministerio de Salud, pero no logra demostrar en qué medida esa circunstancia afectó la integridad material de la muestra ni el rigor técnico de la alcoholemia practicada. Por el contrario, los antecedentes de la causa penal acreditan que la extracción fue realizada por profesional habilitado, que la cadena de custodia fue documentada y que la pericia se efectuó en laboratorio oficial con las debidas garantías. La sola alegación de defectos formales no puede, entonces, prevalecer frente a la contundencia de una medición científica que arrojó 0,83 g/l de alcohol en sangre. 	</w:t>
        <w:br w:type="textWrapping"/>
      </w:r>
      <w:r>
        <w:rPr>
          <w:color w:val="000000"/>
          <w:lang w:val="es-AR" w:eastAsia="es-AR" w:bidi="es-AR"/>
        </w:rPr>
        <w:t xml:space="preserve"> 	En consecuencia, el pronunciamiento de primera instancia que tuvo por acreditado el resultado de 0,83 g/l de alcohol en sangre se muestra ajustado a derecho, valorando correctamente el plexo probatorio incorporado.	</w:t>
        <w:br w:type="textWrapping"/>
      </w:r>
      <w:r>
        <w:rPr>
          <w:color w:val="000000"/>
          <w:lang w:val="es-AR" w:eastAsia="es-AR" w:bidi="es-AR"/>
        </w:rPr>
        <w:t xml:space="preserve"> 	No debe perderse de vista que la sanción de nulidad procesal es de carácter excepcional y restrictivo, requiriendo la demostración de un perjuicio concreto. En tal sentido, la jurisprudencia provincial tiene dicho que los presupuestos de admisibilidad deben concurrir en su totalidad en cada caso concreto para fundamentar la declaración de nulidad; basta que uno de ellos no se verifique para desestimarla. Se trata de un remedio excepcional y de interpretación restrictiva (Cf. </w:t>
      </w:r>
      <w:r>
        <w:rPr>
          <w:lang w:val="es-AR" w:eastAsia="es-AR" w:bidi="es-AR"/>
        </w:rPr>
        <w:t xml:space="preserve">Cámara Primera de Apelaciones Civil y Comercial de La Plata, Sala 3, DJBA, 59-137).	</w:t>
        <w:br w:type="textWrapping"/>
      </w:r>
      <w:r>
        <w:rPr>
          <w:color w:val="000000"/>
          <w:lang w:val="es-AR" w:eastAsia="es-AR" w:bidi="es-AR"/>
        </w:rPr>
        <w:t xml:space="preserve"> 	En el caso, lejos de haberse acreditado afectación a las garantías de defensa, lo cierto es que el iter de la extracción, conservación y pericia de la muestra se ajustó a las normas procesales vigentes. Por lo que los cuestionamientos recursivos constituyen meras discrepancias con el resultado adverso de la pericia, más no configuran un agravio idóneo que justifique su invalidación.	</w:t>
        <w:br w:type="textWrapping"/>
      </w:r>
      <w:r>
        <w:rPr>
          <w:color w:val="000000"/>
          <w:lang w:val="es-AR" w:eastAsia="es-AR" w:bidi="es-AR"/>
        </w:rPr>
        <w:t xml:space="preserve"> 	Como argumento coadyuvante, conviene destacar, además, que el examen de validez de la prueba en sede penal es naturalmente más estricto y riguroso que el que corresponde en sede civil. Ello se explica porque en el ámbito criminal están en juego derechos fundamentales de la máxima jerarquía constitucional, como la libertad personal y el principio de inocencia, de manera que la valoración probatoria se efectúa bajo un estándar de certeza más exigente y con controles reforzados de legalidad.</w:t>
        <w:br w:type="textWrapping"/>
      </w:r>
      <w:r>
        <w:rPr>
          <w:color w:val="000000"/>
          <w:lang w:val="es-AR" w:eastAsia="es-AR" w:bidi="es-AR"/>
        </w:rPr>
        <w:t xml:space="preserve"> 	Si en ese contexto -de mayor severidad y garantía para el imputado- los órganos judiciales penales han convalidado la alcoholemia practicada al actor, desestimando los planteos de nulidad y afirmando expresamente su regularidad, mal podría sostenerse en sede civil un criterio más riguroso que el adoptado en el fuero penal. 	</w:t>
        <w:br w:type="textWrapping"/>
      </w:r>
      <w:r>
        <w:rPr>
          <w:color w:val="000000"/>
          <w:lang w:val="es-AR" w:eastAsia="es-AR" w:bidi="es-AR"/>
        </w:rPr>
        <w:t xml:space="preserve"> 	En otras palabras, no parece razonable que, habiendo superado la prueba el tamiz del derecho penal, el juez civil asuma un escrutinio más estricto que el propio órgano llamado a proteger con mayor intensidad los derechos fundamentales.</w:t>
      </w:r>
    </w:p>
    <w:p>
      <w:pPr>
        <w:pStyle w:val="[Normal]"/>
        <w:spacing w:line="360" w:lineRule="auto"/>
        <w:jc w:val="both"/>
        <w:rPr>
          <w:color w:val="000000"/>
          <w:lang w:val="es-AR" w:eastAsia="es-AR" w:bidi="es-AR"/>
        </w:rPr>
      </w:pPr>
      <w:r>
        <w:rPr>
          <w:color w:val="000000"/>
          <w:lang w:val="es-AR" w:eastAsia="es-AR" w:bidi="es-AR"/>
        </w:rPr>
        <w:t xml:space="preserve"> 	Sobre esta lógica, la Cámara de Apelaciones en lo Civil y Comercial de Quilmes ha dicho que: </w:t>
      </w:r>
      <w:r>
        <w:rPr>
          <w:i/>
          <w:color w:val="000000"/>
          <w:lang w:val="es-AR" w:eastAsia="es-AR" w:bidi="es-AR"/>
        </w:rPr>
        <w:t xml:space="preserve">"Si el examen de alcoholemia llevado a cabo en sede penal y cuestionado en estas actuaciones tramitadas ante el fuero civil determinó que la víctima conducía con 2,66 gramo/litro de alcohol en sangre ello resulta totalmente inmodificable para la Justicia Civil"</w:t>
      </w:r>
      <w:r>
        <w:rPr>
          <w:color w:val="000000"/>
          <w:lang w:val="es-AR" w:eastAsia="es-AR" w:bidi="es-AR"/>
        </w:rPr>
        <w:t xml:space="preserve">. (C0001 QL 10604 98/14 S 10/11/2014 Juez SEÑARIS (SD), Carátula: Ferlanti, Maria Alejandra y Otro C/ Torcini Julio Osvaldo s/ Daños y Perjuicios Magistrados Votantes: Señaris-Reidel).	</w:t>
        <w:br w:type="textWrapping"/>
      </w:r>
      <w:r>
        <w:rPr>
          <w:color w:val="000000"/>
          <w:lang w:val="es-AR" w:eastAsia="es-AR" w:bidi="es-AR"/>
        </w:rPr>
        <w:t xml:space="preserve"> 	En virtud de todo lo expuesto, entiendo que corresponde confirmar la decisión del juez de grado consistente en asignar plena validez jurídica a la prueba cuestionada y desestimar el agravio vertido por el apelante.	</w:t>
        <w:br w:type="textWrapping"/>
      </w:r>
      <w:r>
        <w:rPr>
          <w:color w:val="000000"/>
          <w:lang w:val="es-AR" w:eastAsia="es-AR" w:bidi="es-AR"/>
        </w:rPr>
        <w:t xml:space="preserve"> 	II.- En relación al agravio de la parte demandada centrado en la  incorrecta atribución de responsabilidad a su parte, he de atender parcialmente al disgusto expresado.</w:t>
      </w:r>
    </w:p>
    <w:p>
      <w:pPr>
        <w:pStyle w:val="[Normal]"/>
        <w:spacing w:line="360" w:lineRule="auto"/>
        <w:jc w:val="both"/>
        <w:rPr>
          <w:color w:val="000000"/>
          <w:lang w:val="es-AR" w:eastAsia="es-AR" w:bidi="es-AR"/>
        </w:rPr>
      </w:pPr>
      <w:r>
        <w:rPr>
          <w:color w:val="000000"/>
          <w:lang w:val="es-AR" w:eastAsia="es-AR" w:bidi="es-AR"/>
        </w:rPr>
        <w:t xml:space="preserve"> 	En efecto, del plexo probatorio reunido en la causa -en particular la pericia accidentológica y las constancias de la investigación penal preparatoria- se desprende que concurren factores atribuibles a ambas partes en la producción del siniestro. Por un lado, resulta incontrastable que el actor conducía la motocicleta con un nivel de alcoholemia positivo (0,83 g/l), circunstancia que, además de constituir una infracción a la normativa de tránsito (art. 48 inc. a, ley 24.449 y ley provincial 13.927), configura un factor de riesgo que disminuye la aptitud del conductor para anticiparse y reaccionar frente a maniobras intempestivas, no pudiendo descartarse su incidencia causal en la concreción del accidente.</w:t>
      </w:r>
    </w:p>
    <w:p>
      <w:pPr>
        <w:pStyle w:val="[Normal]"/>
        <w:spacing w:line="360" w:lineRule="auto"/>
        <w:jc w:val="both"/>
        <w:rPr>
          <w:color w:val="000000"/>
          <w:lang w:val="es-AR" w:eastAsia="es-AR" w:bidi="es-AR"/>
        </w:rPr>
      </w:pPr>
      <w:r>
        <w:rPr>
          <w:color w:val="000000"/>
          <w:lang w:val="es-AR" w:eastAsia="es-AR" w:bidi="es-AR"/>
        </w:rPr>
        <w:t xml:space="preserve"> 	Por otro lado, también ha quedado acreditado que la demandada, al mando del automóvil, ejecutó una maniobra de giro a la izquierda en la intersección de Balboa y Alfonsina Storni sin advertir la presencia del actor que circulaba por el carril contrario, interponiéndose de manera sorpresiva en su trayectoria. Esa conducta infringe las reglas de tránsito que imponen extremar las precauciones al realizar este tipo de giros (arts. 39, 43 y 48 de la ley 24.449), constituyendo así la causa directa e inmediata del impacto.</w:t>
      </w:r>
    </w:p>
    <w:p>
      <w:pPr>
        <w:pStyle w:val="[Normal]"/>
        <w:spacing w:line="360" w:lineRule="auto"/>
        <w:jc w:val="both"/>
        <w:rPr>
          <w:color w:val="000000"/>
          <w:lang w:val="es-AR" w:eastAsia="es-AR" w:bidi="es-AR"/>
        </w:rPr>
      </w:pPr>
      <w:r>
        <w:rPr>
          <w:color w:val="000000"/>
          <w:lang w:val="es-AR" w:eastAsia="es-AR" w:bidi="es-AR"/>
        </w:rPr>
        <w:t xml:space="preserve"> 	En este contexto, estimo que la sentencia de primera instancia al distribuir las culpas en un 70% para la demandada y un 30% para el actor no ha valorado en su justa medida la influencia que la conducción bajo los efectos del alcohol pudo tener en la siniestralidad. </w:t>
      </w:r>
    </w:p>
    <w:p>
      <w:pPr>
        <w:pStyle w:val="[Normal]"/>
        <w:spacing w:line="360" w:lineRule="auto"/>
        <w:jc w:val="both"/>
        <w:rPr>
          <w:color w:val="000000"/>
          <w:lang w:val="es-AR" w:eastAsia="es-AR" w:bidi="es-AR"/>
        </w:rPr>
      </w:pPr>
      <w:r>
        <w:rPr>
          <w:color w:val="000000"/>
          <w:lang w:val="es-AR" w:eastAsia="es-AR" w:bidi="es-AR"/>
        </w:rPr>
        <w:t xml:space="preserve"> 	Sin desconocer la trascendencia de la maniobra imprudente de la parte demandada, entiendo que corresponde reconocer que el estado de ebriedad en que se encontraba el actor actuó como factor coadyuvante relevante en la producción del resultado dañoso.</w:t>
      </w:r>
    </w:p>
    <w:p>
      <w:pPr>
        <w:pStyle w:val="[Normal]"/>
        <w:spacing w:line="360" w:lineRule="auto"/>
        <w:jc w:val="both"/>
        <w:rPr>
          <w:color w:val="000000"/>
          <w:lang w:val="es-AR" w:eastAsia="es-AR" w:bidi="es-AR"/>
        </w:rPr>
      </w:pPr>
      <w:r>
        <w:rPr>
          <w:color w:val="000000"/>
          <w:lang w:val="es-AR" w:eastAsia="es-AR" w:bidi="es-AR"/>
        </w:rPr>
        <w:t xml:space="preserve"> 	En este aspecto, no puede pasarse por alto que en las actuaciones no se ha acreditado la existencia de huellas de frenado ni tampoco se han producido elementos probatorios que den cuenta de un intento de maniobra de esquive por parte de la víctima al advertir la maniobra de la demandada. Este dato empírico refuerza la apreciación acerca de que el estado de ebriedad en que aquél se encontraba al momento de conducir resultó un factor determinante para disminuir sus reflejos y su capacidad de reacción, contribuyendo en medida significativa a la producción del accidente. La ausencia de cualquier signo de evasión o de conducta defensiva adecuada frente al giro imprudente de la contraria confirma la incidencia causal que cabe asignar a la ingesta alcohólica, justificando así que la atribución de responsabilidad al actor deba ser mayor a la fijada en la instancia de origen.</w:t>
      </w:r>
    </w:p>
    <w:p>
      <w:pPr>
        <w:pStyle w:val="[Normal]"/>
        <w:spacing w:line="360" w:lineRule="auto"/>
        <w:jc w:val="both"/>
        <w:rPr>
          <w:color w:val="000000"/>
          <w:lang w:val="es-AR" w:eastAsia="es-AR" w:bidi="es-AR"/>
        </w:rPr>
      </w:pPr>
      <w:r>
        <w:rPr>
          <w:color w:val="000000"/>
          <w:lang w:val="es-AR" w:eastAsia="es-AR" w:bidi="es-AR"/>
        </w:rPr>
        <w:t xml:space="preserve"> 	Téngase en cuenta que el obrar del actor también importa una vulneración palmaria del deber de conducción responsable y de la obligación legal de mantener en todo momento el pleno dominio del vehículo a su cargo. Tales deberes se encuentran previstos en la Ley de Tránsito de la Provincia de Buenos Aires (Ley 13.927, arts. 48 y concordantes), que impone a los conductores la obligación de circular en condiciones de seguridad y con la plena capacidad de control sobre el rodado. El hecho de conducir bajo los efectos del alcohol importa, por definición, colocarse en una situación incompatible con dichas exigencias, pues disminuye los reflejos, la atención y la aptitud de respuesta frente a contingencias del tránsito. Esta infracción, lejos de ser meramente reglamentaria, se proyecta directamente en la causalidad del siniestro, ya que menoscaba gravemente la posibilidad de que el damnificado pudiera realizar maniobras eficaces para evitar el impacto frente a la conducta imprudente de la demandada.</w:t>
      </w:r>
    </w:p>
    <w:p>
      <w:pPr>
        <w:pStyle w:val="[Normal]"/>
        <w:spacing w:line="360" w:lineRule="auto"/>
        <w:jc w:val="both"/>
        <w:rPr>
          <w:color w:val="000000"/>
          <w:lang w:val="es-AR" w:eastAsia="es-AR" w:bidi="es-AR"/>
        </w:rPr>
      </w:pPr>
      <w:r>
        <w:rPr>
          <w:color w:val="000000"/>
          <w:lang w:val="es-AR" w:eastAsia="es-AR" w:bidi="es-AR"/>
        </w:rPr>
        <w:t xml:space="preserve"> 	Desde otra perspectiva, no puede desconocerse que el análisis de la responsabilidad también debe atender a la función preventiva del derecho de daños (art. 1708 del CCyC). En tal sentido, la necesidad de desalentar conductas socialmente riesgosas impone un juicio más severo frente a la conducción bajo los efectos del alcohol que frente a la mera inobservancia de una regla técnica de tránsito que, aunque legalmente censurable, no puede ser equiparada a la imprudencia de quien emprende la conducción sumido en un estado de intoxicación alcohólica significativo con el consiguiente impacto causal en la producción del hecho dañoso. Ergo, la imputación de una mayor proporción de responsabilidad al conductor alcoholizado no sólo se correlaciona con la mecánica causal del caso, sino que además cumple una finalidad ejemplificadora y preventiva, orientada a desalentar con mayor ímpetu la conducción en estado de ebriedad.	</w:t>
        <w:br w:type="textWrapping"/>
      </w:r>
      <w:r>
        <w:rPr>
          <w:color w:val="000000"/>
          <w:lang w:val="es-AR" w:eastAsia="es-AR" w:bidi="es-AR"/>
        </w:rPr>
        <w:t xml:space="preserve"> 	En relación a lo expuesto, no debe soslayarse que la conducción bajo los efectos del alcohol no constituye un episodio aislado ni anecdótico, sino que se ha revelado como uno de los principales factores de siniestralidad vial tanto en nuestro país como en el plano internacional. Organismos especializados como la Organización Mundial de la Salud han advertido de manera reiterada que la ingesta de alcohol al conducir multiplica significativamente el riesgo de accidentes graves y mortales, y han identificado esta práctica como una de las conductas de mayor impacto negativo en la seguridad vial. En este sentido, se ha concluido: </w:t>
      </w:r>
      <w:r>
        <w:rPr>
          <w:i/>
          <w:color w:val="000000"/>
          <w:lang w:val="es-AR" w:eastAsia="es-AR" w:bidi="es-AR"/>
        </w:rPr>
        <w:t xml:space="preserve">"Los usuarios de la vía pública bajo los efectos del alcohol tienen un riesgo significativamente mayor de sufrir un accidente. La promulgación y aplicación de leyes estrictas contra la conducción bajo los efectos del alcohol"</w:t>
      </w:r>
      <w:r>
        <w:rPr>
          <w:color w:val="000000"/>
          <w:lang w:val="es-AR" w:eastAsia="es-AR" w:bidi="es-AR"/>
        </w:rPr>
        <w:t xml:space="preserve"> (https://www.who.int/initiatives/SAFER/drink-driving).</w:t>
      </w:r>
    </w:p>
    <w:p>
      <w:pPr>
        <w:pStyle w:val="[Normal]"/>
        <w:spacing w:line="360" w:lineRule="auto"/>
        <w:jc w:val="both"/>
        <w:rPr>
          <w:color w:val="000000"/>
          <w:lang w:val="es-AR" w:eastAsia="es-AR" w:bidi="es-AR"/>
        </w:rPr>
      </w:pPr>
      <w:r>
        <w:rPr>
          <w:color w:val="000000"/>
          <w:lang w:val="es-AR" w:eastAsia="es-AR" w:bidi="es-AR"/>
        </w:rPr>
        <w:t xml:space="preserve"> 	Por tales motivos, juzgo equitativo modificar la atribución causal efectuada en la instancia de grado, estableciendo la misma en un 60% para el actor y un 40% para la demandada, reflejando ello con mayor fidelidad la incidencia concurrente de ambas conductas en la producción del evento dañoso.</w:t>
      </w:r>
    </w:p>
    <w:p>
      <w:pPr>
        <w:pStyle w:val="[Normal]"/>
        <w:spacing w:line="360" w:lineRule="auto"/>
        <w:jc w:val="both"/>
        <w:rPr>
          <w:color w:val="000000"/>
          <w:lang w:val="es-AR" w:eastAsia="es-AR" w:bidi="es-AR"/>
        </w:rPr>
      </w:pPr>
      <w:r>
        <w:rPr>
          <w:color w:val="000000"/>
          <w:lang w:val="es-AR" w:eastAsia="es-AR" w:bidi="es-AR"/>
        </w:rPr>
        <w:t xml:space="preserve"> 	III.1. En lo atinente al agravio basado en la incorrecta determinación de los ingresos de la víctima planteado por la accionante, corresponde destacar que no se advierte error en la valoración de la prueba efectuada por el sentenciante. 	</w:t>
        <w:br w:type="textWrapping"/>
      </w:r>
      <w:r>
        <w:rPr>
          <w:color w:val="000000"/>
          <w:lang w:val="es-AR" w:eastAsia="es-AR" w:bidi="es-AR"/>
        </w:rPr>
        <w:t xml:space="preserve"> 	La parte actora no logró aportar medios idóneos que permitieran acreditar de manera fehaciente cuáles eran sus ingresos al tiempo del siniestro. 	</w:t>
        <w:br w:type="textWrapping"/>
      </w:r>
      <w:r>
        <w:rPr>
          <w:color w:val="000000"/>
          <w:lang w:val="es-AR" w:eastAsia="es-AR" w:bidi="es-AR"/>
        </w:rPr>
        <w:t xml:space="preserve"> 	Las declaraciones testimoniales incorporadas, si bien aluden en términos generales a la actividad laboral del actor, carecen de la precisión y objetividad necesarias para constituir, por sí solas, una fuente confiable de reconstrucción del quantum de sus ganancias.</w:t>
      </w:r>
    </w:p>
    <w:p>
      <w:pPr>
        <w:pStyle w:val="[Normal]"/>
        <w:spacing w:line="360" w:lineRule="auto"/>
        <w:jc w:val="both"/>
        <w:rPr>
          <w:color w:val="000000"/>
          <w:lang w:val="es-AR" w:eastAsia="es-AR" w:bidi="es-AR"/>
        </w:rPr>
      </w:pPr>
      <w:r>
        <w:rPr>
          <w:color w:val="000000"/>
          <w:lang w:val="es-AR" w:eastAsia="es-AR" w:bidi="es-AR"/>
        </w:rPr>
        <w:t xml:space="preserve"> 	La doctrina y la jurisprudencia son claras en cuanto a que el testimonio de terceros puede servir como complemento indiciario, pero no como único soporte probatorio para establecer un dato de naturaleza económica que exige corroboración mediante documentación, registros o al menos circunstancias concurrentes que otorguen verosimilitud al relato. Aquí no se ofreció ni produjo comprobante alguno -recibos, constancias de pago, informes periciales socioeconómicos, ni siquiera indicios objetivos sobre nivel de vida- que permita sustentar las manifestaciones de los deponentes.</w:t>
      </w:r>
    </w:p>
    <w:p>
      <w:pPr>
        <w:pStyle w:val="[Normal]"/>
        <w:spacing w:line="360" w:lineRule="auto"/>
        <w:jc w:val="both"/>
        <w:rPr>
          <w:color w:val="000000"/>
          <w:lang w:val="es-AR" w:eastAsia="es-AR" w:bidi="es-AR"/>
        </w:rPr>
      </w:pPr>
      <w:r>
        <w:rPr>
          <w:color w:val="000000"/>
          <w:lang w:val="es-AR" w:eastAsia="es-AR" w:bidi="es-AR"/>
        </w:rPr>
        <w:t xml:space="preserve"> 	Al respecto, se ha dicho que: </w:t>
      </w:r>
      <w:r>
        <w:rPr>
          <w:i/>
          <w:color w:val="000000"/>
          <w:lang w:val="es-AR" w:eastAsia="es-AR" w:bidi="es-AR"/>
        </w:rPr>
        <w:t xml:space="preserve">"la declaración testimonial no resulta suficiente para acreditar el lucro cesante, pues si bien la elección de los medios probatorios es facultad privativa de los litigantes y, salvo que alguno de aquellos medios este ordenado por la ley con carácter excluyente, no cabe exigir una prueba específica, si las partes prescinden de la prueba más idónea para la acreditación de determinados hechos, la prueba de otra índole que aporten para ese fin, se debe apreciar con mayor severidad y estrictez"</w:t>
      </w:r>
      <w:r>
        <w:rPr>
          <w:color w:val="000000"/>
          <w:lang w:val="es-AR" w:eastAsia="es-AR" w:bidi="es-AR"/>
        </w:rPr>
        <w:t xml:space="preserve"> </w:t>
      </w:r>
      <w:r>
        <w:rPr>
          <w:lang w:val="es-AR" w:eastAsia="es-AR" w:bidi="es-AR"/>
        </w:rPr>
        <w:t xml:space="preserve">(Cámara Nacional de Apelaciones en lo Civil y Comercial Federal</w:t>
        <w:br w:type="textWrapping"/>
      </w:r>
      <w:r>
        <w:rPr>
          <w:lang w:val="es-AR" w:eastAsia="es-AR" w:bidi="es-AR"/>
        </w:rPr>
        <w:t xml:space="preserve">Sala/Juzgado: I, "M. L. O. c/ EDESUR S.A. s/ daños y perjuicios", 27/2/2014).</w:t>
      </w:r>
    </w:p>
    <w:p>
      <w:pPr>
        <w:pStyle w:val="[Normal]"/>
        <w:spacing w:line="360" w:lineRule="auto"/>
        <w:jc w:val="both"/>
        <w:rPr>
          <w:color w:val="000000"/>
          <w:lang w:val="es-AR" w:eastAsia="es-AR" w:bidi="es-AR"/>
        </w:rPr>
      </w:pPr>
      <w:r>
        <w:rPr>
          <w:color w:val="000000"/>
          <w:lang w:val="es-AR" w:eastAsia="es-AR" w:bidi="es-AR"/>
        </w:rPr>
        <w:t xml:space="preserve"> 	En consecuencia, atribuir a esas meras manifestaciones aisladas un valor concluyente para fijar el ingreso implicaría vulnerar las reglas de la sana crítica racional y conferir a la prueba testimonial un alcance que excede su naturaleza. Ante esa orfandad, la solución de acudir al salario mínimo vital y móvil como pauta de referencia no sólo aparece como jurídicamente válida, sino también como la más prudente y equitativa.</w:t>
      </w:r>
    </w:p>
    <w:p>
      <w:pPr>
        <w:pStyle w:val="[Normal]"/>
        <w:spacing w:line="360" w:lineRule="auto"/>
        <w:jc w:val="both"/>
        <w:rPr>
          <w:color w:val="000000"/>
          <w:lang w:val="es-AR" w:eastAsia="es-AR" w:bidi="es-AR"/>
        </w:rPr>
      </w:pPr>
      <w:r>
        <w:rPr>
          <w:color w:val="000000"/>
          <w:lang w:val="es-AR" w:eastAsia="es-AR" w:bidi="es-AR"/>
        </w:rPr>
        <w:t xml:space="preserve"> 	Por tales motivos, el agravio no puede prosperar, pues la carencia de prueba idónea y la insuficiencia de las declaraciones testimoniales como única fuente de acreditación del ingreso del actor justifican plenamente la decisión de grado.</w:t>
      </w:r>
    </w:p>
    <w:p>
      <w:pPr>
        <w:pStyle w:val="[Normal]"/>
        <w:spacing w:line="360" w:lineRule="auto"/>
        <w:jc w:val="both"/>
        <w:rPr>
          <w:color w:val="000000"/>
          <w:lang w:val="es-AR" w:eastAsia="es-AR" w:bidi="es-AR"/>
        </w:rPr>
      </w:pPr>
      <w:r>
        <w:rPr>
          <w:color w:val="000000"/>
          <w:lang w:val="es-AR" w:eastAsia="es-AR" w:bidi="es-AR"/>
        </w:rPr>
        <w:t xml:space="preserve"> 	III.2. Tampoco resulta de recibo el agravio de la parte demandada en cuanto objeta que el sentenciante haya tomado como pauta de ingresos el salario mínimo vital y móvil, pese a que no se produjeron elementos de prueba idóneos para acreditar las remuneraciones efectivas del actor. En efecto, frente a la orfandad probatoria existente, el juez de grado acudió a un parámetro objetivo de alcance general y normativamente regulado, que permite establecer una base razonable y prudente a fin de cuantificar el resarcimiento.</w:t>
      </w:r>
    </w:p>
    <w:p>
      <w:pPr>
        <w:pStyle w:val="[Normal]"/>
        <w:spacing w:line="360" w:lineRule="auto"/>
        <w:jc w:val="both"/>
        <w:rPr>
          <w:color w:val="000000"/>
          <w:lang w:val="es-AR" w:eastAsia="es-AR" w:bidi="es-AR"/>
        </w:rPr>
      </w:pPr>
      <w:r>
        <w:rPr>
          <w:color w:val="000000"/>
          <w:lang w:val="es-AR" w:eastAsia="es-AR" w:bidi="es-AR"/>
        </w:rPr>
        <w:t xml:space="preserve"> 	Cabe recordar que el SMVM constituye un estándar mínimo reconocido legalmente como retribución por una jornada laboral completa, y que su empleo como pauta de referencia en casos de trabajadores informales sin acreditación fehaciente de ingresos ha sido convalidado por leste Tribunal, precisamente porque otorga certeza allí donde la prueba directa falta.</w:t>
      </w:r>
    </w:p>
    <w:p>
      <w:pPr>
        <w:pStyle w:val="[Normal]"/>
        <w:spacing w:line="360" w:lineRule="auto"/>
        <w:jc w:val="both"/>
        <w:rPr>
          <w:lang w:val="es-AR" w:eastAsia="es-AR" w:bidi="es-AR"/>
        </w:rPr>
      </w:pPr>
      <w:r>
        <w:rPr>
          <w:color w:val="000000"/>
          <w:lang w:val="es-AR" w:eastAsia="es-AR" w:bidi="es-AR"/>
        </w:rPr>
        <w:t xml:space="preserve"> 	</w:t>
      </w:r>
      <w:r>
        <w:rPr>
          <w:lang w:val="es-AR" w:eastAsia="es-AR" w:bidi="es-AR"/>
        </w:rPr>
        <w:t xml:space="preserve">Esta Alzada, ya se ha expedido en torno a que cuando se ha acreditado que la persona incapacitada tenía actividad laboral, pero no se puede establecer el monto de los ingresos "... </w:t>
      </w:r>
      <w:r>
        <w:rPr>
          <w:i/>
          <w:lang w:val="es-AR" w:eastAsia="es-AR" w:bidi="es-AR"/>
        </w:rPr>
        <w:t xml:space="preserve">lo más apropiado es adoptar aquí la pauta del salario mínimo, vital y móvil como lo he sostenido en otros casos traídos a revisión" (</w:t>
      </w:r>
      <w:r>
        <w:rPr>
          <w:lang w:val="es-AR" w:eastAsia="es-AR" w:bidi="es-AR"/>
        </w:rPr>
        <w:t xml:space="preserve">Cámara de Apelación en lo Civil y Comercial del Departamento Judicial Pergamino, causa N° </w:t>
      </w:r>
      <w:r>
        <w:rPr>
          <w:color w:val="000000"/>
          <w:lang w:val="es-AR" w:eastAsia="es-AR" w:bidi="es-AR"/>
        </w:rPr>
        <w:t xml:space="preserve">4603-22</w:t>
      </w:r>
      <w:r>
        <w:rPr>
          <w:lang w:val="es-AR" w:eastAsia="es-AR" w:bidi="es-AR"/>
        </w:rPr>
        <w:t xml:space="preserve">   caratulada </w:t>
      </w:r>
      <w:r>
        <w:rPr>
          <w:i/>
          <w:lang w:val="es-AR" w:eastAsia="es-AR" w:bidi="es-AR"/>
        </w:rPr>
        <w:t xml:space="preserve">"</w:t>
      </w:r>
      <w:r>
        <w:rPr>
          <w:i/>
          <w:color w:val="000000"/>
          <w:lang w:val="es-AR" w:eastAsia="es-AR" w:bidi="es-AR"/>
        </w:rPr>
        <w:t xml:space="preserve">MARTINEZ JUAN MARCELO C/ RAMIREZ ELBIO Y OTRO/A S/ DAÑOS Y PERJ.AUTOM. C/LES. O MUERTE (EXC.ESTADO)</w:t>
      </w:r>
      <w:r>
        <w:rPr>
          <w:i/>
          <w:lang w:val="es-AR" w:eastAsia="es-AR" w:bidi="es-AR"/>
        </w:rPr>
        <w:t xml:space="preserve">" </w:t>
      </w:r>
      <w:r>
        <w:rPr>
          <w:lang w:val="es-AR" w:eastAsia="es-AR" w:bidi="es-AR"/>
        </w:rPr>
        <w:t xml:space="preserve">, 25/8/2022). </w:t>
      </w:r>
    </w:p>
    <w:p>
      <w:pPr>
        <w:pStyle w:val="[Normal]"/>
        <w:spacing w:line="360" w:lineRule="auto"/>
        <w:jc w:val="both"/>
        <w:rPr>
          <w:lang w:val="es-AR" w:eastAsia="es-AR" w:bidi="es-AR"/>
        </w:rPr>
      </w:pPr>
      <w:r>
        <w:rPr>
          <w:lang w:val="es-AR" w:eastAsia="es-AR" w:bidi="es-AR"/>
        </w:rPr>
        <w:t xml:space="preserve"> 	Sobre este punto, la Sala II de la Cámara de Apelaciones Civil y Comercial de Mar del Plata ha sostenido también que:</w:t>
      </w:r>
      <w:r>
        <w:rPr>
          <w:i/>
          <w:lang w:val="es-AR" w:eastAsia="es-AR" w:bidi="es-AR"/>
        </w:rPr>
        <w:t xml:space="preserve"> "Cuando se carece de una pauta económica sobre la cual evaluar la incapacidad, se recurre al salario mínimo vital y móvil como índice orientador ya que es totalmente incierto el monto de los ingresos, y sobre ese monto se obtiene una suma que puede ser apreciada en más o en menos cuando las circunstancias así lo autorizan" (CC0102 MP., autos "SAUBIDET, ELSA RENÉ C/ EMPRESA DE TRANSPORTE 12 DE OCTUBRE SRL Y OTRO S/ DAÑOS Y PERJUICIOS", CC0102 MP 160665 299-S S, 29/11/2016; Sumario Juba:B5025405 ).- </w:t>
      </w:r>
    </w:p>
    <w:p>
      <w:pPr>
        <w:pStyle w:val="[Normal]"/>
        <w:spacing w:line="360" w:lineRule="auto"/>
        <w:jc w:val="both"/>
        <w:rPr>
          <w:color w:val="000000"/>
          <w:lang w:val="es-AR" w:eastAsia="es-AR" w:bidi="es-AR"/>
        </w:rPr>
      </w:pPr>
      <w:r>
        <w:rPr>
          <w:color w:val="000000"/>
          <w:lang w:val="es-AR" w:eastAsia="es-AR" w:bidi="es-AR"/>
        </w:rPr>
        <w:t xml:space="preserve"> 	Pretender que la ausencia de prueba conduzca a desconocer la existencia de ingresos o a fijarlos en un valor ínfimo importaría consagrar un enriquecimiento indebido en favor del responsable, en desmedro de la víctima.</w:t>
      </w:r>
    </w:p>
    <w:p>
      <w:pPr>
        <w:pStyle w:val="[Normal]"/>
        <w:spacing w:line="360" w:lineRule="auto"/>
        <w:jc w:val="both"/>
        <w:rPr>
          <w:color w:val="000000"/>
          <w:lang w:val="es-AR" w:eastAsia="es-AR" w:bidi="es-AR"/>
        </w:rPr>
      </w:pPr>
      <w:r>
        <w:rPr>
          <w:color w:val="000000"/>
          <w:lang w:val="es-AR" w:eastAsia="es-AR" w:bidi="es-AR"/>
        </w:rPr>
        <w:t xml:space="preserve"> 	En suma, la decisión de adoptar el SMVM como base de cálculo no puede reputarse arbitraria, sino que aparece como la solución más equitativa dentro de la insuficiencia probatoria verificada, por lo que el agravio de la demandada carece de sustento y debe ser rechazado.  	 	 	Similar suerte adversa ha de correr el agravio en virtud del cual  se tilda de errónea la determinación del ingreso anual del actor, por haberse adoptado como pauta el salario mínimo vital y móvil e integrado al cálculo el sueldo anual complementario, aun cuando no se hubiesen acreditado documentalmente sumas efectivamente percibidas.	</w:t>
        <w:br w:type="textWrapping"/>
      </w:r>
      <w:r>
        <w:rPr>
          <w:color w:val="000000"/>
          <w:lang w:val="es-AR" w:eastAsia="es-AR" w:bidi="es-AR"/>
        </w:rPr>
        <w:t xml:space="preserve"> 	En primer término, corresponde reiterar que la falta de acreditación de ingresos concretos no habilita a concluir que la víctima carecía de percepción económica alguna, máxime cuando se encuentra demostrado que ejercía actividad laboral. En tales supuestos, el criterio reiterado de la jurisprudencia ha sido acudir a parámetros objetivos que aseguren una indemnización razonable, y el SMVM aparece como el estándar mínimo reconocido por la legislación laboral para garantizar una retribución digna por jornada completa.	</w:t>
        <w:br w:type="textWrapping"/>
      </w:r>
      <w:r>
        <w:rPr>
          <w:color w:val="000000"/>
          <w:lang w:val="es-AR" w:eastAsia="es-AR" w:bidi="es-AR"/>
        </w:rPr>
        <w:t xml:space="preserve"> 	En este sentido, la inclusión del sueldo anual complementario en la estimación no traduce una concesión arbitraria, sino la aplicación de una pauta habitual y consolidada para computar las remuneraciones en términos anuales, que refleja la realidad de todo trabajador asalariado -registrado o no- y se corresponde con la finalidad de la reparación integral. </w:t>
        <w:br w:type="textWrapping"/>
      </w:r>
      <w:r>
        <w:rPr>
          <w:color w:val="000000"/>
          <w:lang w:val="es-AR" w:eastAsia="es-AR" w:bidi="es-AR"/>
        </w:rPr>
        <w:t xml:space="preserve"> 	La crítica de la recurrente desconoce que, aun frente a la informalidad laboral, la jurisprudencia no ha prescindido de considerar el SAC como parte de los haberes normales y habituales. En respaldo de ello, la Cámara de Apelaciones en lo Civil y Comercial de Quilmes ha resuelto que: </w:t>
      </w:r>
      <w:r>
        <w:rPr>
          <w:i/>
          <w:color w:val="000000"/>
          <w:lang w:val="es-AR" w:eastAsia="es-AR" w:bidi="es-AR"/>
        </w:rPr>
        <w:t xml:space="preserve">"Ante la ausencia de evidencia fehaciente sobre sus ingresos efectivos, corresponde estimar una retribución actual tomando como pauta el Salario Mínimo Vital y Móvil determinado por el Consejo Nacional del Empleo, la productividad y el Salario Mínimo Vital y Móvil dependiente del Ministerio de Trabajo, Empleo y Acción Social de la Presidencia de la Nación (art. 14 bis de la CN, 135 y cctes. de la Ley 24.013). C) Con esa base, no parece probable que exista un cambio (en el caso, ascendente) de los ingresos de la víctima. Deberá tomarse, en consecuencia, un ingreso promedio anual proyectado de $ 880.659, con base en el Salario Mínimo Vital y Móvil actual vigente (Res. 15/2022 CNEPySMVyM) incluyendo un SAC. hasta los 65 años (edad jubilatoria)"</w:t>
      </w:r>
      <w:r>
        <w:rPr>
          <w:color w:val="000000"/>
          <w:lang w:val="es-AR" w:eastAsia="es-AR" w:bidi="es-AR"/>
        </w:rPr>
        <w:t xml:space="preserve">. (Cámara de Apelaciones en lo Civil y comercial de Quilmes, </w:t>
      </w:r>
      <w:r>
        <w:rPr>
          <w:i/>
          <w:color w:val="000000"/>
          <w:lang w:val="es-AR" w:eastAsia="es-AR" w:bidi="es-AR"/>
        </w:rPr>
        <w:t xml:space="preserve">"BAZAN VICTOR HUGO C/ CHEDUFAU LAURA ANALIA Y OTRO/A S/DAÑOS Y PERJ.AUTOM. C/LES. O MUERTE (EXC.ESTADO)"</w:t>
      </w:r>
      <w:r>
        <w:rPr>
          <w:color w:val="000000"/>
          <w:lang w:val="es-AR" w:eastAsia="es-AR" w:bidi="es-AR"/>
        </w:rPr>
        <w:t xml:space="preserve">, 9/2/2023).</w:t>
      </w:r>
    </w:p>
    <w:p>
      <w:pPr>
        <w:pStyle w:val="[Normal]"/>
        <w:spacing w:line="360" w:lineRule="auto"/>
        <w:jc w:val="both"/>
        <w:rPr>
          <w:color w:val="000000"/>
          <w:lang w:val="es-AR" w:eastAsia="es-AR" w:bidi="es-AR"/>
        </w:rPr>
      </w:pPr>
      <w:r>
        <w:rPr>
          <w:color w:val="000000"/>
          <w:lang w:val="es-AR" w:eastAsia="es-AR" w:bidi="es-AR"/>
        </w:rPr>
        <w:t xml:space="preserve"> 	En consecuencia, la decisión de grado no aparece errónea ni infundada: antes bien, se asienta en criterios de prudencia y equidad frente a la orfandad probatoria, adoptando un parámetro normativamente reconocido y de aplicación constante en supuestos similares. El agravio, por ende, debe ser desestimado.	</w:t>
        <w:br w:type="textWrapping"/>
      </w:r>
      <w:r>
        <w:rPr>
          <w:color w:val="000000"/>
          <w:lang w:val="es-AR" w:eastAsia="es-AR" w:bidi="es-AR"/>
        </w:rPr>
        <w:t xml:space="preserve"> 	En lo relativo a la tasa de descuento aplicada en el cálculo de la indemnización, corresponde convalidar lo resuelto en la instancia de grado, que fijó la misma en el 4%. Es cierto que esta Cámara ha utilizado en otras ocasiones la pauta del 6%, pero ello no implica un estándar rígido o de observancia ineludible. La determinación de la tasa de descuento es materia de apreciación judicial, y debe ajustarse a criterios de equidad, prudencia y realidad económica, evitando reducciones que desnaturalicen la reparación.	 	En el caso, la recurrente no logra demostrar la irrazonabilidad del parámetro adoptado por el juez a quo, limitándose a sostener que existía una pauta diferente en la jurisprudencia departamental. Sin embargo, no basta con invocar precedentes; es preciso evidenciar de qué modo el 4% adoptado resulta irreal, confiscatorio o contrario a las condiciones económicas actuales, extremo que en modo alguno se ha cumplido. Al no mediar una crítica concreta a la razonabilidad del 4%, el agravio carece de entidad y debe rechazarse.	</w:t>
        <w:br w:type="textWrapping"/>
      </w:r>
      <w:r>
        <w:rPr>
          <w:color w:val="000000"/>
          <w:lang w:val="es-AR" w:eastAsia="es-AR" w:bidi="es-AR"/>
        </w:rPr>
        <w:t xml:space="preserve"> 	A mayor abundamiento, se ha dicho que: </w:t>
      </w:r>
      <w:r>
        <w:rPr>
          <w:i/>
          <w:color w:val="000000"/>
          <w:lang w:val="es-AR" w:eastAsia="es-AR" w:bidi="es-AR"/>
        </w:rPr>
        <w:t xml:space="preserve">"En la práctica tribunalicia de la mayoría de los Juzgados de Primera Instancia que se sirven de fórmulas matemáticas para cuantificar el daño por incapacidad laboral puede observarse que el juez selecciona aquella que según su criterio permite la determinación más exacta posible del daño por incapacidad. Con lo cual, el magistrado de origen termina utilizando una única fórmula para todos los casos en que debe cuantificar la incapacidad laborativa de la víctima como rubro indemnizatorio. Y aun cuando las partes propongan una técnica diferente, el legítimo ejercicio del iura novit curia y la libertad argumentativa que caracteriza a la función judicial de grado lo habilita para aplicar la fórmula que juzgue más adecuada en pos de este cometido con prescindencia de aquella que propongan las partes. Diferente es, en cambio, la situación de los Tribunales Superiores toda vez que los magistrados de estas instancias se encuentran ya con una fórmula aplicada en la sentencia apelada que puede coincidir o no con la que estimen preferible en orden a la cuantificación de los daños. Y dado que la jurisdicción de Alzada está limitada por el alcance de los agravios expresados por las partes, no siempre podrán proceder sin más a la sustitución de la fórmula aplicada en la instancia de origen por aquella otra que consideren más adecuada para resolver las variables del caso. Por otra parte, no existe un procedimiento único para determinar la cuantía del daño por incapacidad laborativa, de modo que en la medida de que se consideren razonablemente las varia-bles determinativas de este rubro no habrá necesariamente motivos para cuestionar la juridicidad de la vía metodológica utilizada. En virtud de lo expuesto, es altamente probable que los jueces de segunda instancia u otros tribunales superiores tengan que conocer respecto a una amplia gama de fórmulas actuariales de posible aplicación, circunstancia que repercutirá en una mayor complejidad de la función revisora de la Alzada”</w:t>
      </w:r>
      <w:r>
        <w:rPr>
          <w:color w:val="000000"/>
          <w:lang w:val="es-AR" w:eastAsia="es-AR" w:bidi="es-AR"/>
        </w:rPr>
        <w:t xml:space="preserve"> (Morea, Adrián O, “Reglas para la revisión judicial de las fórmulas actuariales”, RCCyC 2020 (octubre), 182, AR/DOC/2864/2020)…”.</w:t>
      </w:r>
    </w:p>
    <w:p>
      <w:pPr>
        <w:pStyle w:val="[Normal]"/>
        <w:spacing w:line="360" w:lineRule="auto"/>
        <w:jc w:val="both"/>
        <w:rPr>
          <w:color w:val="000000"/>
          <w:lang w:val="es-AR" w:eastAsia="es-AR" w:bidi="es-AR"/>
        </w:rPr>
      </w:pPr>
      <w:r>
        <w:rPr>
          <w:color w:val="000000"/>
          <w:lang w:val="es-AR" w:eastAsia="es-AR" w:bidi="es-AR"/>
        </w:rPr>
        <w:t xml:space="preserve"> 	III.3. En lo tocante al agravio vinculado a la pericia médica por infundada.</w:t>
      </w:r>
    </w:p>
    <w:p>
      <w:pPr>
        <w:pStyle w:val="[Normal]"/>
        <w:spacing w:line="360" w:lineRule="auto"/>
        <w:jc w:val="both"/>
        <w:rPr>
          <w:color w:val="000000"/>
          <w:lang w:val="es-AR" w:eastAsia="es-AR" w:bidi="es-AR"/>
        </w:rPr>
      </w:pPr>
      <w:r>
        <w:rPr>
          <w:color w:val="000000"/>
          <w:lang w:val="es-AR" w:eastAsia="es-AR" w:bidi="es-AR"/>
        </w:rPr>
        <w:t xml:space="preserve"> 	Corresponde recordar que la apreciación de la prueba pericial no se reduce a una suma de dictámenes ni a la mera comparación de porcentajes, sino a la elección -conforme las reglas de la sana crítica- del informe que mejor restituye, con respaldo clínico y coherencia interna, el estado secuelar efectivamente verificado. En ese marco, esta Alzada asigna prevalencia convictiva al dictamen médico más reciente, por cuanto integra de modo más completo las constancias asistenciales inmediatas al hecho con la exploración física actual y arriba a una conclusión proporcionada al cuadro funcional observado, sin necesidad de descalificar los informes anteriores, que se valoran como insumos parciales del iter probatorio. Tal método es el que exige la jurisprudencia cuando habilita a preferir la prueba idónea y decisiva para la solución del pleito, sin obligación de ponderarlo todo por igual.</w:t>
      </w:r>
    </w:p>
    <w:p>
      <w:pPr>
        <w:pStyle w:val="[Normal]"/>
        <w:spacing w:line="360" w:lineRule="auto"/>
        <w:jc w:val="both"/>
        <w:rPr>
          <w:color w:val="000000"/>
          <w:lang w:val="es-AR" w:eastAsia="es-AR" w:bidi="es-AR"/>
        </w:rPr>
      </w:pPr>
      <w:r>
        <w:rPr>
          <w:color w:val="000000"/>
          <w:lang w:val="es-AR" w:eastAsia="es-AR" w:bidi="es-AR"/>
        </w:rPr>
        <w:t xml:space="preserve"> 	La mayor eficacia probatoria de ese último dictamen se verifica, ante todo, en su base informativa y su trazabilidad: trabaja sobre la historia clínica y estudios confeccionados en los días inmediatamente posteriores al accidente -documentación que ancla el relato lesional en el “tiempo del hecho”- y los contrasta con un examen pericial completo y actual, que describe movilidad conservada, ausencia de renguera y maniobras negativas, con sobrehueso tibial indoloro y sin secuelas funcionales relevantes. El enlace entre fuentes cercanas al evento y hallazgos presentes robustece el nexo y reduce márgenes de conjetura, dotando al dictamen de superior poder explicativo y persuasivo.</w:t>
      </w:r>
    </w:p>
    <w:p>
      <w:pPr>
        <w:pStyle w:val="[Normal]"/>
        <w:spacing w:line="360" w:lineRule="auto"/>
        <w:jc w:val="both"/>
        <w:rPr>
          <w:color w:val="000000"/>
          <w:lang w:val="es-AR" w:eastAsia="es-AR" w:bidi="es-AR"/>
        </w:rPr>
      </w:pPr>
      <w:r>
        <w:rPr>
          <w:color w:val="000000"/>
          <w:lang w:val="es-AR" w:eastAsia="es-AR" w:bidi="es-AR"/>
        </w:rPr>
        <w:t xml:space="preserve"> 	Asimismo, la pericia de cierre se practicó en el estadio de consolidación del daño, lo que permite ponderar la evolución natural de las lesiones, el éxito del tratamiento y las adaptaciones funcionales logradas en el tiempo. En materia de daños personales, la determinación del déficit debe capturar “lo que queda” —capacidad restante— y no cristalizar hipótesis tempranas cuando la biología y la rehabilitación ya han hecho su curso; de allí que la evaluación tardía, pero metodológicamente anclada en constancias tempranas, aporte una fotografía más fiel del menoscabo indemnizable. La propia técnica pericial civil advierte que los baremos son orientativos y que la medición debe ajustar el porcentaje a la funcionalidad actual, criterio que la última experticia aplica con mayor consistencia.</w:t>
      </w:r>
    </w:p>
    <w:p>
      <w:pPr>
        <w:pStyle w:val="[Normal]"/>
        <w:spacing w:line="360" w:lineRule="auto"/>
        <w:jc w:val="both"/>
        <w:rPr>
          <w:color w:val="000000"/>
          <w:lang w:val="es-AR" w:eastAsia="es-AR" w:bidi="es-AR"/>
        </w:rPr>
      </w:pPr>
      <w:r>
        <w:rPr>
          <w:color w:val="000000"/>
          <w:lang w:val="es-AR" w:eastAsia="es-AR" w:bidi="es-AR"/>
        </w:rPr>
        <w:t xml:space="preserve"> 	Esta preferencia también se armoniza con el principio pro homine: optar por la interpretación y la prueba que mejor resguarda la persona -su dignidad, autonomía y proyecto de vida- impone evitar tanto la minusvaloración cuanto la sobredimensión de secuelas que el examen actual no convalida. Reconocer el déficit estrictamente demostrado, sin extrapolar perjuicios hipotéticos, protege a la víctima de ser estigmatizada con una incapacidad superior a la real y, a la vez, asegura una reparación justa y proporcional al daño cierto, no a escenarios ya superados por la evolución clínica. Ese estándar de tutela integral se ve reforzado aquí porque la pericia final se nutre de las constancias médicas remitidas por el Tribunal y responde de modo específico a los puntos periciales ordenados en esta instancia.</w:t>
      </w:r>
    </w:p>
    <w:p>
      <w:pPr>
        <w:pStyle w:val="[Normal]"/>
        <w:spacing w:line="360" w:lineRule="auto"/>
        <w:jc w:val="both"/>
        <w:rPr>
          <w:color w:val="000000"/>
          <w:lang w:val="es-AR" w:eastAsia="es-AR" w:bidi="es-AR"/>
        </w:rPr>
      </w:pPr>
      <w:r>
        <w:rPr>
          <w:color w:val="000000"/>
          <w:lang w:val="es-AR" w:eastAsia="es-AR" w:bidi="es-AR"/>
        </w:rPr>
        <w:t xml:space="preserve"> 	A mayor abundamiento, la documental médica acompañada por el propio actor robustece la elección de la pericia de cierre como pieza de mayor eficacia convictiva. En efecto, las historias clínicas del HIGA “San José” de los días 11/12/2021 y 15/12/2021 -con registro de traumatismo, fractura tibial y atención odontológica- guardan plena coherencia con la plataforma fáctica utilizada por la experta y con el examen actual practicado, de modo que el dictamen final no se apoya en conjeturas sino en constancias inmediatas al hecho debidamente integradas al análisis pericial. Ello reduce el margen de incertidumbre propio de valoraciones tempranas y se armoniza con un estándar de tutela pro homine que demanda fotografiar el daño real y vigente, no suposiciones ya superadas por la evolución clínica.</w:t>
      </w:r>
    </w:p>
    <w:p>
      <w:pPr>
        <w:pStyle w:val="[Normal]"/>
        <w:spacing w:line="360" w:lineRule="auto"/>
        <w:jc w:val="both"/>
        <w:rPr>
          <w:color w:val="000000"/>
          <w:lang w:val="es-AR" w:eastAsia="es-AR" w:bidi="es-AR"/>
        </w:rPr>
      </w:pPr>
      <w:r>
        <w:rPr>
          <w:color w:val="000000"/>
          <w:lang w:val="es-AR" w:eastAsia="es-AR" w:bidi="es-AR"/>
        </w:rPr>
        <w:t xml:space="preserve"> 	Del mismo modo, las constancias aportadas sobre el tratamiento quirúrgico con osteosíntesis -cotización de la pieza endomedular de fecha 13/12/2021- y los estudios radiológicos de control del 17/05/2022, permiten leer el cuadro con la perspectiva de la consolidación ósea y la rehabilitación cumplida. Tales documentos dialogan directamente con los hallazgos de la pericia más reciente -sobrehueso en la pierna derecha, movilidad completa y marcha sin renguera-, reforzando que la valoración del menoscabo debe efectuarse sobre la funcionalidad remanente y no sobre proyecciones hipotéticas. Considero pues que la convergencia entre documental inmediata al evento y examen actual explica, mejor que cualquier otra, la prudencia del porcentaje incapacitante adoptado.</w:t>
      </w:r>
    </w:p>
    <w:p>
      <w:pPr>
        <w:pStyle w:val="[Normal]"/>
        <w:spacing w:line="360" w:lineRule="auto"/>
        <w:jc w:val="both"/>
        <w:rPr>
          <w:color w:val="000000"/>
          <w:lang w:val="es-AR" w:eastAsia="es-AR" w:bidi="es-AR"/>
        </w:rPr>
      </w:pPr>
      <w:r>
        <w:rPr>
          <w:color w:val="000000"/>
          <w:lang w:val="es-AR" w:eastAsia="es-AR" w:bidi="es-AR"/>
        </w:rPr>
        <w:t xml:space="preserve"> 	En lo relativo al compromiso dentario, el presupuesto odontológico acompañado -con detalle de intervenciones y un monto estimado de $629.750- acredita el daño y sus necesidades reparadoras, al tiempo que el examen pericial actual consigna ausencia de dificultades en la masticación y el habla. Esta dupla probatoria distingue con claridad entre el costo de restitución protésica y el impacto funcional permanente, evitando sobredimensionar secuelas que el estado presente no verifica. También aquí la combinación de documental específica y evaluación clínica actual confiere a la pericia final una superior fuerza explicativa y, por ende, probatoria.</w:t>
      </w:r>
    </w:p>
    <w:p>
      <w:pPr>
        <w:pStyle w:val="[Normal]"/>
        <w:spacing w:line="360" w:lineRule="auto"/>
        <w:jc w:val="both"/>
        <w:rPr>
          <w:color w:val="000000"/>
          <w:lang w:val="es-AR" w:eastAsia="es-AR" w:bidi="es-AR"/>
        </w:rPr>
      </w:pPr>
      <w:r>
        <w:rPr>
          <w:color w:val="000000"/>
          <w:lang w:val="es-AR" w:eastAsia="es-AR" w:bidi="es-AR"/>
        </w:rPr>
        <w:t xml:space="preserve"> 	Finalmente, el cierre pericial en Alzada exhibe un recorrido razonado y autárquico respecto de la evidencia disponible, con examen físico directo y correlación documental recientes, lo que le confiere superioridad convictiva frente a informes previos rendidos en momentos de mayor incertidumbre evolutiva. </w:t>
      </w:r>
    </w:p>
    <w:p>
      <w:pPr>
        <w:pStyle w:val="[Normal]"/>
        <w:spacing w:line="360" w:lineRule="auto"/>
        <w:jc w:val="both"/>
        <w:rPr>
          <w:color w:val="000000"/>
          <w:lang w:val="es-AR" w:eastAsia="es-AR" w:bidi="es-AR"/>
        </w:rPr>
      </w:pPr>
      <w:r>
        <w:rPr>
          <w:color w:val="000000"/>
          <w:lang w:val="es-AR" w:eastAsia="es-AR" w:bidi="es-AR"/>
        </w:rPr>
        <w:t xml:space="preserve">  	En consecuencia, y sin declarar inidóneos los demás dictámenes, corresponde asignar a la última experticia el peso decisivo para fijar la incapacidad sobre la que versa el agravio, adoptando su estimación -del treinta y tres por ciento- como pauta de decisión, por ser la que mejor satisface los estándares de completitud, coherencia y actualidad exigidos por la sana crítica.</w:t>
      </w:r>
    </w:p>
    <w:p>
      <w:pPr>
        <w:pStyle w:val="[Normal]"/>
        <w:spacing w:line="360" w:lineRule="auto"/>
        <w:jc w:val="both"/>
        <w:rPr>
          <w:color w:val="000000"/>
          <w:lang w:val="es-AR" w:eastAsia="es-AR" w:bidi="es-AR"/>
        </w:rPr>
      </w:pPr>
      <w:r>
        <w:rPr>
          <w:color w:val="000000"/>
          <w:lang w:val="es-AR" w:eastAsia="es-AR" w:bidi="es-AR"/>
        </w:rPr>
        <w:t xml:space="preserve"> 	Atento a lo expuesto, corresponde entonces recalcular el rubro daño por  “incapacidad sobreviniente” sobre la nueva base establecida. Para recomputar dicha partida con el nuevo porcentaje del 33%, habré de conservar estrictamente el método y las variables fijadas por el juez de grado -las cuales han quedado firmes por no haber sido efectivamente cuestionadas o bien por ser materia de confirmación expresa en el presente pronunciamiento-: edad del actor 27 años; base remuneratoria tomada del SMVM ante la falta de prueba de ingresos, con un ingreso anual proyectado de $3.530.425,80 (incluye SAC); tasa pura de descuento del 4%; y la estructura actuarial que capitaliza rentas futuras conforme el esquema utilizado por el a quo.</w:t>
      </w:r>
    </w:p>
    <w:p>
      <w:pPr>
        <w:pStyle w:val="[Normal]"/>
        <w:spacing w:line="360" w:lineRule="auto"/>
        <w:jc w:val="both"/>
        <w:rPr>
          <w:color w:val="000000"/>
          <w:lang w:val="es-AR" w:eastAsia="es-AR" w:bidi="es-AR"/>
        </w:rPr>
      </w:pPr>
      <w:r>
        <w:rPr>
          <w:color w:val="000000"/>
          <w:lang w:val="es-AR" w:eastAsia="es-AR" w:bidi="es-AR"/>
        </w:rPr>
        <w:t xml:space="preserve"> 	Parto del capital por rentas futuras frustradas que el a quo obtuvo con 28% de incapacidad: $10.256.521,14. Manteniendo idénticas variables y fórmula, el ajuste por llevar el porcentaje al 33% se hace de manera proporcional: $10.256.521,14 × (33/28) = $12.088.042,77 (redondeado a centavos).</w:t>
      </w:r>
    </w:p>
    <w:p>
      <w:pPr>
        <w:pStyle w:val="[Normal]"/>
        <w:spacing w:line="360" w:lineRule="auto"/>
        <w:jc w:val="both"/>
        <w:rPr>
          <w:color w:val="000000"/>
          <w:lang w:val="es-AR" w:eastAsia="es-AR" w:bidi="es-AR"/>
        </w:rPr>
      </w:pPr>
      <w:r>
        <w:rPr>
          <w:color w:val="000000"/>
          <w:lang w:val="es-AR" w:eastAsia="es-AR" w:bidi="es-AR"/>
        </w:rPr>
        <w:t xml:space="preserve"> 	Con el mismo criterio de grado, adiciono el 10% por “aptitudes vitales y genéricas” sobre ese nuevo capital técnico: 10% de $12.088.042,77 = $1.208.804,28. En consecuencia, el monto del rubro </w:t>
      </w:r>
      <w:r>
        <w:rPr>
          <w:i/>
          <w:color w:val="000000"/>
          <w:lang w:val="es-AR" w:eastAsia="es-AR" w:bidi="es-AR"/>
        </w:rPr>
        <w:t xml:space="preserve">“incapacidad”</w:t>
      </w:r>
      <w:r>
        <w:rPr>
          <w:color w:val="000000"/>
          <w:lang w:val="es-AR" w:eastAsia="es-AR" w:bidi="es-AR"/>
        </w:rPr>
        <w:t xml:space="preserve"> actualizado al 33% asciende a $13.296.847,05.</w:t>
      </w:r>
    </w:p>
    <w:p>
      <w:pPr>
        <w:pStyle w:val="[Normal]"/>
        <w:spacing w:line="360" w:lineRule="auto"/>
        <w:jc w:val="both"/>
        <w:rPr>
          <w:color w:val="000000"/>
          <w:lang w:val="es-AR" w:eastAsia="es-AR" w:bidi="es-AR"/>
        </w:rPr>
      </w:pPr>
      <w:r>
        <w:rPr>
          <w:color w:val="000000"/>
          <w:lang w:val="es-AR" w:eastAsia="es-AR" w:bidi="es-AR"/>
        </w:rPr>
        <w:t xml:space="preserve"> 	Y  atendiendo a la nueva atribución de responsabilidad fijada en un 40% a la demandada sobre el totalidad del daño jurídico, la porción alcanzada por la cobertura se determina en el cuarenta por ciento del capital técnico por incapacidad ($13.296.847,05), esto es $5.318.738,82.</w:t>
      </w:r>
    </w:p>
    <w:p>
      <w:pPr>
        <w:pStyle w:val="[Normal]"/>
        <w:spacing w:line="360" w:lineRule="auto"/>
        <w:jc w:val="both"/>
        <w:rPr>
          <w:color w:val="000000"/>
          <w:lang w:val="es-AR" w:eastAsia="es-AR" w:bidi="es-AR"/>
        </w:rPr>
      </w:pPr>
      <w:r>
        <w:rPr>
          <w:color w:val="000000"/>
          <w:lang w:val="es-AR" w:eastAsia="es-AR" w:bidi="es-AR"/>
        </w:rPr>
        <w:t xml:space="preserve"> 	IV. En lo atinente al rubro daño moral, considero que no resulta atendible el agravio de la citada en garantía que califica la indemnización como exorbitante, por cuanto se sustenta en la alegada ausencia de constancias específicas sobre padecimientos o angustias subjetivas del actor. Cabe recordar que el daño moral no requiere una prueba directa del sufrimiento interior, sino que se presume de las propias circunstancias objetivas del hecho dañoso y de la gravedad de las lesiones sufridas. En este sentido, las secuelas permanentes, los tratamientos de rehabilitación y la limitación en la vida cotidiana constituyen indicadores suficientes de un menoscabo espiritual indemnizable.</w:t>
      </w:r>
    </w:p>
    <w:p>
      <w:pPr>
        <w:pStyle w:val="[Normal]"/>
        <w:spacing w:line="360" w:lineRule="auto"/>
        <w:jc w:val="both"/>
        <w:rPr>
          <w:lang w:val="es-AR" w:eastAsia="es-AR" w:bidi="es-AR"/>
        </w:rPr>
      </w:pPr>
      <w:r>
        <w:rPr>
          <w:lang w:val="es-AR" w:eastAsia="es-AR" w:bidi="es-AR"/>
        </w:rPr>
        <w:t xml:space="preserve"> 	Sobre este piso de marcha, ha dicho este Tribunal que: </w:t>
      </w:r>
      <w:r>
        <w:rPr>
          <w:i/>
          <w:lang w:val="es-AR" w:eastAsia="es-AR" w:bidi="es-AR"/>
        </w:rPr>
        <w:t xml:space="preserve">"como en esta materia es imposible producir prueba directa sobre el perjuicio padecido dado que la índole espiritual y subjetiva del menoscabo suele ser insusceptible de este tipo de acreditación, cobra valor la prueba indirecta la que con frecuencia -y como acontece en la especie- surge in re ipsa del hecho dañoso integralmente considerado. Al decir de Bustamante Alsina, "...no creemos que el agravio moral debe ser objeto de prueba directa, pues ello resulta absolutamente imposible por la índole del mismo que reside en lo más íntimo de la personalidad..."</w:t>
      </w:r>
      <w:r>
        <w:rPr>
          <w:lang w:val="es-AR" w:eastAsia="es-AR" w:bidi="es-AR"/>
        </w:rPr>
        <w:t xml:space="preserve"> (BUSTAMANTE ALSINA, Equitativa valuación del daño no mensurable, LL, 1990-A-655). (...) Así pues la prueba indirecta del daño moral encuentra en los indicios y en las presunciones hominis, su modo natural de realización. Deben, de tal modo, probarse los hechos en los que se basa la presunción. En la razonable conexión entre el hecho indicativo (el cual no está exento de prueba) y el hecho indicado yace la eficacia de la prueba presuncional (art. 384 del CPBA; así también lo ha estimado esta Cámara en los autos N° en los autos N° 2204- 14 caratulados "BADA, YESICA RITA C/ CANTORE, LUCIANO Y OTRO/A S/ DAÑOS Y PERJ. DEL./CUAS. (EXC. USO AUT. Y ESTADO)".-</w:t>
      </w:r>
    </w:p>
    <w:p>
      <w:pPr>
        <w:pStyle w:val="[Normal]"/>
        <w:spacing w:line="360" w:lineRule="auto"/>
        <w:jc w:val="both"/>
        <w:rPr>
          <w:lang w:val="es-AR" w:eastAsia="es-AR" w:bidi="es-AR"/>
        </w:rPr>
      </w:pPr>
      <w:r>
        <w:rPr>
          <w:lang w:val="es-AR" w:eastAsia="es-AR" w:bidi="es-AR"/>
        </w:rPr>
        <w:t xml:space="preserve"> 	Distinta es la solución que habré de proponer para el agravio actoral. En este sentido, considero que corresponde hacer lugar parcialmente a la crítica del accionante en materia de daño moral. Si bien se trata de un rubro de apreciación prudencial y no estrictamente matemático, su cuantificación no puede permanecer ajena al mayor gravamen secuelar finalmente tenido por cierto en esta Alzada. </w:t>
      </w:r>
    </w:p>
    <w:p>
      <w:pPr>
        <w:pStyle w:val="[Normal]"/>
        <w:spacing w:line="360" w:lineRule="auto"/>
        <w:jc w:val="both"/>
        <w:rPr>
          <w:lang w:val="es-AR" w:eastAsia="es-AR" w:bidi="es-AR"/>
        </w:rPr>
      </w:pPr>
      <w:r>
        <w:rPr>
          <w:lang w:val="es-AR" w:eastAsia="es-AR" w:bidi="es-AR"/>
        </w:rPr>
        <w:t xml:space="preserve"> 	Sin desnaturalizar la autonomía del daño moral, la jurisprudencia precitada admite que sus signos objetivos -dolor, angustia, restricciones de vida cotidiana- se infieren de las circunstancias del caso y de la gravedad de las lesiones, sin requerir prueba directa del padecimiento interior. Sobre tal base, y manteniendo el enfoque prudencial de primera instancia, la elevación se efectúa en la “debida proporción” respecto del aumento del índice incapacitante, como pauta orientativa que asegura coherencia interna del fallo y evita desfasajes entre los distintos rubros.</w:t>
      </w:r>
    </w:p>
    <w:p>
      <w:pPr>
        <w:pStyle w:val="[Normal]"/>
        <w:spacing w:line="360" w:lineRule="auto"/>
        <w:jc w:val="both"/>
        <w:rPr>
          <w:lang w:val="es-AR" w:eastAsia="es-AR" w:bidi="es-AR"/>
        </w:rPr>
      </w:pPr>
      <w:r>
        <w:rPr>
          <w:lang w:val="es-AR" w:eastAsia="es-AR" w:bidi="es-AR"/>
        </w:rPr>
        <w:t xml:space="preserve"> 	En consecuencia, tomando como anclaje la suma fijada en grado y el incremento del porcentaje de incapacidad (de 28% a 33%), corresponde hacer lugar parcialmente al agravio de la parte actora en relación al daño moral. </w:t>
      </w:r>
    </w:p>
    <w:p>
      <w:pPr>
        <w:pStyle w:val="[Normal]"/>
        <w:spacing w:line="360" w:lineRule="auto"/>
        <w:jc w:val="both"/>
        <w:rPr>
          <w:lang w:val="es-AR" w:eastAsia="es-AR" w:bidi="es-AR"/>
        </w:rPr>
      </w:pPr>
      <w:r>
        <w:rPr>
          <w:lang w:val="es-AR" w:eastAsia="es-AR" w:bidi="es-AR"/>
        </w:rPr>
        <w:t xml:space="preserve"> 	Así pues, partiendo de la suma fijada en la instancia de grado ($3.948.760) y atendiendo al mayor gravamen secuelar finalmente establecido en esta Alzada, la cuantía extrapatrimonial se ajusta en la “debida proporción”, preservando el método prudencial adoptado por el a quo y la coherencia interna del fallo. En tal sentido, la elevación se efectúa con el mismo coeficiente de incremento que resultó de la revisión del déficit funcional (de 28% a 33%), lo que arroja un total de $4.653.895,71 para el rubro “daño moral”.</w:t>
      </w:r>
    </w:p>
    <w:p>
      <w:pPr>
        <w:pStyle w:val="[Normal]"/>
        <w:spacing w:line="360" w:lineRule="auto"/>
        <w:jc w:val="both"/>
        <w:rPr>
          <w:lang w:val="es-AR" w:eastAsia="es-AR" w:bidi="es-AR"/>
        </w:rPr>
      </w:pPr>
      <w:r>
        <w:rPr>
          <w:lang w:val="es-AR" w:eastAsia="es-AR" w:bidi="es-AR"/>
        </w:rPr>
        <w:t xml:space="preserve"> 	Sin perjuicio de ello, y conforme la nueva distribución de responsabilidad fijada en esta instancia, la extensión oponible a la demandada y a su citada en garantía queda limitada al cuarenta por ciento (40%) del importe reseñado, esto es, $1.861.558,29. </w:t>
      </w:r>
    </w:p>
    <w:p>
      <w:pPr>
        <w:pStyle w:val="[Normal]"/>
        <w:spacing w:line="360" w:lineRule="auto"/>
        <w:jc w:val="both"/>
        <w:rPr>
          <w:color w:val="000000"/>
          <w:lang w:val="es-AR" w:eastAsia="es-AR" w:bidi="es-AR"/>
        </w:rPr>
      </w:pPr>
      <w:r>
        <w:rPr>
          <w:color w:val="000000"/>
          <w:lang w:val="es-AR" w:eastAsia="es-AR" w:bidi="es-AR"/>
        </w:rPr>
        <w:t xml:space="preserve"> 	V.- El agravio del demandado en torno al reconocimiento del rubro </w:t>
      </w:r>
      <w:r>
        <w:rPr>
          <w:i/>
          <w:color w:val="000000"/>
          <w:lang w:val="es-AR" w:eastAsia="es-AR" w:bidi="es-AR"/>
        </w:rPr>
        <w:t xml:space="preserve">“gastos médicos” </w:t>
      </w:r>
      <w:r>
        <w:rPr>
          <w:color w:val="000000"/>
          <w:lang w:val="es-AR" w:eastAsia="es-AR" w:bidi="es-AR"/>
        </w:rPr>
        <w:t xml:space="preserve">no puede prosperar. Sostiene que la sentencia de grado impuso una condena infundada, en tanto la parte actora no habría acreditado haber incurrido en erogaciones médicas derivadas del hecho dañoso. Alega que no se acompañaron comprobantes ni se produjo prueba alguna sobre su existencia, lo que violaría el principio de la carga de la prueba y configuraría un enriquecimiento indebido.</w:t>
      </w:r>
    </w:p>
    <w:p>
      <w:pPr>
        <w:pStyle w:val="[Normal]"/>
        <w:spacing w:line="360" w:lineRule="auto"/>
        <w:jc w:val="both"/>
        <w:rPr>
          <w:color w:val="000000"/>
          <w:lang w:val="es-AR" w:eastAsia="es-AR" w:bidi="es-AR"/>
        </w:rPr>
      </w:pPr>
      <w:r>
        <w:rPr>
          <w:color w:val="000000"/>
          <w:lang w:val="es-AR" w:eastAsia="es-AR" w:bidi="es-AR"/>
        </w:rPr>
        <w:t xml:space="preserve"> 	Sin embargo, dicho planteo soslaya el criterio legal y  jurisprudencial consolidado conforme al cual, en materia de daños a la integridad física, los gastos médicos menores o habituales pueden presumirse, aún sin prueba directa, cuando la lesión comprobada razonablemente permite inferir que debieron afrontarse ciertos desembolsos vinculados al tratamiento, diagnóstico o recuperación. No se exige, en tales supuestos, la presentación puntual de cada comprobante, especialmente cuando se trata de rubros de escasa cuantía o difícil registración (v. gr., consultas, traslados, medicamentos de venta libre, insumos descartables, etc.).</w:t>
      </w:r>
    </w:p>
    <w:p>
      <w:pPr>
        <w:pStyle w:val="[Normal]"/>
        <w:spacing w:line="360" w:lineRule="auto"/>
        <w:ind w:firstLine="1134"/>
        <w:jc w:val="both"/>
        <w:rPr>
          <w:lang w:val="es-AR" w:eastAsia="es-AR" w:bidi="es-AR"/>
        </w:rPr>
      </w:pPr>
      <w:r>
        <w:rPr>
          <w:lang w:val="es-AR" w:eastAsia="es-AR" w:bidi="es-AR"/>
        </w:rPr>
        <w:t xml:space="preserve">En este aspecto, el artículo 1746 del CCyC en su parte pertinente establece: </w:t>
      </w:r>
      <w:r>
        <w:rPr>
          <w:i/>
          <w:lang w:val="es-AR" w:eastAsia="es-AR" w:bidi="es-AR"/>
        </w:rPr>
        <w:t xml:space="preserve">"Se presumen los gastos médicos, farmacéuticos y por transporte que resultan razonables en función de la índole de las lesiones o la incapacidad"</w:t>
      </w:r>
      <w:r>
        <w:rPr>
          <w:lang w:val="es-AR" w:eastAsia="es-AR" w:bidi="es-AR"/>
        </w:rPr>
        <w:t xml:space="preserve">.</w:t>
      </w:r>
    </w:p>
    <w:p>
      <w:pPr>
        <w:pStyle w:val="[Normal]"/>
        <w:spacing w:line="360" w:lineRule="auto"/>
        <w:ind w:firstLine="1134"/>
        <w:jc w:val="both"/>
        <w:rPr>
          <w:i/>
          <w:lang w:val="es-AR" w:eastAsia="es-AR" w:bidi="es-AR"/>
        </w:rPr>
      </w:pPr>
      <w:r>
        <w:rPr>
          <w:lang w:val="es-AR" w:eastAsia="es-AR" w:bidi="es-AR"/>
        </w:rPr>
        <w:t xml:space="preserve"> A nivel jurisprudencial, se ha dicho que: "</w:t>
      </w:r>
      <w:r>
        <w:rPr>
          <w:i/>
          <w:lang w:val="es-AR" w:eastAsia="es-AR" w:bidi="es-AR"/>
        </w:rPr>
        <w:t xml:space="preserve">La presunción en este punto (gastos médicos y farmacéuticos), alcanza a los gastos menores y corrientes que pudo haber incurrido el damnificado en atenciones médicas, analgésicos, traslados desde y hasta el centro de atención etc., debiéndose probar las erogaciones mayores, de una cuantía que exceda lo que en el curso normal de una lesión puede surgir.  Va de suyo que la carga de esas acreditaciones se encuentra en cabeza de quien reclama la indemnización en virtud de lo dispuesto por el art. 375 CPCC" </w:t>
      </w:r>
      <w:r>
        <w:rPr>
          <w:lang w:val="es-AR" w:eastAsia="es-AR" w:bidi="es-AR"/>
        </w:rPr>
        <w:t xml:space="preserve">(CC0202 LP 132453 RSD 247/2022 S 27/10/2022 JUBA B5083336).-</w:t>
      </w:r>
    </w:p>
    <w:p>
      <w:pPr>
        <w:pStyle w:val="[Normal]"/>
        <w:spacing w:line="360" w:lineRule="auto"/>
        <w:jc w:val="both"/>
        <w:rPr>
          <w:color w:val="000000"/>
          <w:lang w:val="es-AR" w:eastAsia="es-AR" w:bidi="es-AR"/>
        </w:rPr>
      </w:pPr>
      <w:r>
        <w:rPr>
          <w:color w:val="000000"/>
          <w:lang w:val="es-AR" w:eastAsia="es-AR" w:bidi="es-AR"/>
        </w:rPr>
        <w:t xml:space="preserve">	En el caso, la existencia de la lesión y el carácter culposo del hecho se encuentran acreditados y no han sido motivo de agravio. La actora requirió atención médica inicial, cursó tratamiento ambulatorio y se indicó reposo, según surge de la pericia médica incorporada. Tales circunstancias habilitan la aplicación de una presunción razonable de gastos derivados, cuya estimación prudencial por parte del sentenciante no puede considerarse arbitraria.	</w:t>
        <w:br w:type="textWrapping"/>
      </w:r>
      <w:r>
        <w:rPr>
          <w:color w:val="000000"/>
          <w:lang w:val="es-AR" w:eastAsia="es-AR" w:bidi="es-AR"/>
        </w:rPr>
        <w:t xml:space="preserve"> 	Recuérdese que el principio de reparación plena consagrado en el art. 1740 del CCyC impone valorar no sólo los daños efectivamente acreditados sino también aquellos que, por su índole, pueden inferirse lógicamente del contexto fáctico comprobado. Negar toda compensación por este rubro implicaría trasladar al damnificado las consecuencias patrimoniales de un hecho dañoso ajeno, en abierta contradicción con la finalidad del sistema resarcitorio.</w:t>
      </w:r>
    </w:p>
    <w:p>
      <w:pPr>
        <w:pStyle w:val="[Normal]"/>
        <w:spacing w:line="360" w:lineRule="auto"/>
        <w:jc w:val="both"/>
        <w:rPr>
          <w:color w:val="000000"/>
          <w:lang w:val="es-AR" w:eastAsia="es-AR" w:bidi="es-AR"/>
        </w:rPr>
      </w:pPr>
      <w:r>
        <w:rPr>
          <w:color w:val="000000"/>
          <w:lang w:val="es-AR" w:eastAsia="es-AR" w:bidi="es-AR"/>
        </w:rPr>
        <w:t xml:space="preserve"> 	Por lo tanto, el agravio debe ser rechazado, confirmándose la procedencia del rubro “gastos médicos” tal como fue reconocido en la instancia de grado.</w:t>
      </w:r>
    </w:p>
    <w:p>
      <w:pPr>
        <w:pStyle w:val="[Normal]"/>
        <w:spacing w:line="360" w:lineRule="auto"/>
        <w:jc w:val="both"/>
        <w:rPr>
          <w:color w:val="000000"/>
          <w:lang w:val="es-AR" w:eastAsia="es-AR" w:bidi="es-AR"/>
        </w:rPr>
      </w:pPr>
      <w:r>
        <w:rPr>
          <w:color w:val="000000"/>
          <w:lang w:val="es-AR" w:eastAsia="es-AR" w:bidi="es-AR"/>
        </w:rPr>
        <w:t xml:space="preserve"> 	VI. En punto al agravio relativo al límite de cobertura, toda vez que no ha mediado pronunciamiento expreso respecto a dicho aspecto crítico -omisión sobre la cual coinciden las partes a tenor de lo expresado en el escrito de expresión de agravio de fecha 6/12/2024 y en la contestación del traslado respectivo en fecha 15/3/2025-, corresponde que me expida al respecto.</w:t>
      </w:r>
    </w:p>
    <w:p>
      <w:pPr>
        <w:pStyle w:val="[Normal]"/>
        <w:spacing w:line="360" w:lineRule="auto"/>
        <w:jc w:val="both"/>
        <w:rPr>
          <w:lang w:val="es-AR" w:eastAsia="es-AR" w:bidi="es-AR"/>
        </w:rPr>
      </w:pPr>
      <w:r>
        <w:rPr>
          <w:color w:val="000000"/>
          <w:lang w:val="es-AR" w:eastAsia="es-AR" w:bidi="es-AR"/>
        </w:rPr>
        <w:t xml:space="preserve"> 	</w:t>
      </w:r>
      <w:r>
        <w:rPr>
          <w:lang w:val="es-AR" w:eastAsia="es-AR" w:bidi="es-AR"/>
        </w:rPr>
        <w:t xml:space="preserve">En virtud de lo expuesto, procederé al abordaje de la cuestión aludida que han quedado pendientes de tratamiento por omisión producida en la instancia de grado. Ello así con fundamento en el art. 273 del CPCC que habilita al tribunal a decidir sobre los puntos omitidos en la sentencia de primera instancia, aunque no se hubiese pedido aclaratoria, y siempre que se solicitare el respectivo pronunciamiento al expresar agravios.</w:t>
      </w:r>
    </w:p>
    <w:p>
      <w:pPr>
        <w:pStyle w:val="[Normal]"/>
        <w:spacing w:line="360" w:lineRule="auto"/>
        <w:jc w:val="both"/>
        <w:rPr>
          <w:lang w:val="es-AR" w:eastAsia="es-AR" w:bidi="es-AR"/>
        </w:rPr>
      </w:pPr>
      <w:r>
        <w:rPr>
          <w:lang w:val="es-AR" w:eastAsia="es-AR" w:bidi="es-AR"/>
        </w:rPr>
        <w:t xml:space="preserve"> 	Así pues, he de referir en tal sentido que respecto a la cuestión del límite de cobertura en materia de seguro de responsabilidad civil, la Casación provincial ha sentado doctrina legal en la causa "Martínez" disponiendo que el tope máximo de cobertura se fije en función del </w:t>
      </w:r>
      <w:r>
        <w:rPr>
          <w:i/>
          <w:color w:val="000000"/>
          <w:lang w:val="es-AR" w:eastAsia="es-AR" w:bidi="es-AR"/>
        </w:rPr>
        <w:t xml:space="preserve">vigente al momento de la valuación judicial del daño contenida en la sentencia definitiva </w:t>
      </w:r>
      <w:r>
        <w:rPr>
          <w:lang w:val="es-AR" w:eastAsia="es-AR" w:bidi="es-AR"/>
        </w:rPr>
        <w:t xml:space="preserve">(cf. </w:t>
      </w:r>
      <w:r>
        <w:rPr>
          <w:color w:val="000000"/>
          <w:lang w:val="es-AR" w:eastAsia="es-AR" w:bidi="es-AR"/>
        </w:rPr>
        <w:t xml:space="preserve">SCJBA, </w:t>
      </w:r>
      <w:r>
        <w:rPr>
          <w:color w:val="000000"/>
          <w:shd w:val="clear" w:color="auto" w:fill="FFFFFF"/>
          <w:lang w:val="es-AR" w:eastAsia="es-AR" w:bidi="es-AR"/>
        </w:rPr>
        <w:t xml:space="preserve">"Martínez, Emir contra Boito, Alfredo Alberto. Daños y perjuicios", causa C. 119.088, 21 de Febrero de 2018).	</w:t>
      </w:r>
    </w:p>
    <w:p>
      <w:pPr>
        <w:pStyle w:val="[Normal]"/>
        <w:spacing w:line="360" w:lineRule="auto"/>
        <w:jc w:val="both"/>
        <w:rPr>
          <w:color w:val="000000"/>
          <w:lang w:val="es-AR" w:eastAsia="es-AR" w:bidi="es-AR"/>
        </w:rPr>
      </w:pPr>
      <w:r>
        <w:rPr>
          <w:color w:val="000000"/>
          <w:lang w:val="es-AR" w:eastAsia="es-AR" w:bidi="es-AR"/>
        </w:rPr>
        <w:t xml:space="preserve">	El caso referido versó sobre un accidente de tránsito seguido de reclamación de daños y perjuicios y citación en garantía a la aseguradora </w:t>
      </w:r>
      <w:r>
        <w:rPr>
          <w:color w:val="000000"/>
          <w:shd w:val="clear" w:color="auto" w:fill="FFFFFF"/>
          <w:lang w:val="es-AR" w:eastAsia="es-AR" w:bidi="es-AR"/>
        </w:rPr>
        <w:br w:type="textWrapping"/>
      </w:r>
      <w:r>
        <w:rPr>
          <w:color w:val="000000"/>
          <w:shd w:val="clear" w:color="auto" w:fill="FFFFFF"/>
          <w:lang w:val="es-AR" w:eastAsia="es-AR" w:bidi="es-AR"/>
        </w:rPr>
        <w:t xml:space="preserve"> 	</w:t>
      </w:r>
      <w:r>
        <w:rPr>
          <w:color w:val="000000"/>
          <w:lang w:val="es-AR" w:eastAsia="es-AR" w:bidi="es-AR"/>
        </w:rPr>
        <w:t xml:space="preserve">En la especie, resultaba que, </w:t>
      </w:r>
      <w:r>
        <w:rPr>
          <w:color w:val="000000"/>
          <w:shd w:val="clear" w:color="auto" w:fill="FFFFFF"/>
          <w:lang w:val="es-AR" w:eastAsia="es-AR" w:bidi="es-AR"/>
        </w:rPr>
        <w:t xml:space="preserve">al tiempo del siniestro, la cobertura contratada alcanzaba los montos mínimos previstos en las resoluciones generales 21.999/92 y 22.058/93 de la Superintendencia de Seguros de la Nación. Sin embargo, cuando la entidad de los daños sufridos por la víctima fue apreciada -a los fines de la ejecución de la garantía-, tales montos mínimos ya habían sido modificados sustancialmente por la mencionada autoridad nacional, siendo aplicable para dicha época la resolución general 36.100/11 [B.O. 23-IX-2011], a través de la cual se había elevado la cobertura básica a la suma de ciento veinte mil pesos ($120.000) por muerte o incapacidad total y permanente (encontrándose incluso próxima a entrar en vigencia la resolución general 38.066/13).	</w:t>
        <w:br w:type="textWrapping"/>
      </w:r>
      <w:r>
        <w:rPr>
          <w:color w:val="000000"/>
          <w:shd w:val="clear" w:color="auto" w:fill="FFFFFF"/>
          <w:lang w:val="es-AR" w:eastAsia="es-AR" w:bidi="es-AR"/>
        </w:rPr>
        <w:t xml:space="preserve"> 	En virtud de la elevada factura técnica y jurídica que exhibe la fundamentación del fallo señalado, nos permitimos transcribir in extenso la parte que aquí resulta pertinente: </w:t>
      </w:r>
      <w:r>
        <w:rPr>
          <w:i/>
          <w:color w:val="000000"/>
          <w:shd w:val="clear" w:color="auto" w:fill="FFFFFF"/>
          <w:lang w:val="es-AR" w:eastAsia="es-AR" w:bidi="es-AR"/>
        </w:rPr>
        <w:t xml:space="preserve">“</w:t>
      </w:r>
      <w:r>
        <w:rPr>
          <w:i/>
          <w:color w:val="000000"/>
          <w:lang w:val="es-AR" w:eastAsia="es-AR" w:bidi="es-AR"/>
        </w:rPr>
        <w:t xml:space="preserve">Tal evolución del monto mínimo del seguro obligatorio a lo largo de los años, junto a una valuación actualizada de los perjuicios derivados del siniestro, vuelve evidente la modificación en la extensión de las prestaciones oportunamente acordadas (conf. art. 163, inc. 6, 2do. párr., CPCC). El transcurso del tiempo, el diferimiento del cumplimiento de la obligación de garantía a cargo de la aseguradora y la valuación judicial actual del daño ocasionado han provocado la desnaturalización del vínculo contractual por la sobreviniente disminución de la incidencia de la cobertura contratada en la cuantía de la indemnización finalmente resultante”.</w:t>
      </w:r>
      <w:r>
        <w:rPr>
          <w:color w:val="000000"/>
          <w:lang w:val="es-AR" w:eastAsia="es-AR" w:bidi="es-AR"/>
        </w:rPr>
        <w:t xml:space="preserve">	</w:t>
        <w:br w:type="textWrapping"/>
      </w:r>
      <w:r>
        <w:rPr>
          <w:color w:val="000000"/>
          <w:lang w:val="es-AR" w:eastAsia="es-AR" w:bidi="es-AR"/>
        </w:rPr>
        <w:t xml:space="preserve"> 	“</w:t>
      </w:r>
      <w:r>
        <w:rPr>
          <w:i/>
          <w:color w:val="000000"/>
          <w:lang w:val="es-AR" w:eastAsia="es-AR" w:bidi="es-AR"/>
        </w:rPr>
        <w:t xml:space="preserve">(…) Si bien el asegurado abonó oportunamente las cuotas respectivas (prima pura y gastos de gestión interna y externa del asegurador) en relación con la cobertura básica obligatoria vigente al momento del siniestro (v. fs. 59/60 y 180 y vta.), y aun cuando adicionalmente deba la aseguradora afrontar complementariamente y en forma proporcional los mayores costos por intereses, costos y costas judiciales y extrajudiciales del presente proceso (conf. arts. 110, 111 y concs., LS, conf. doctr. causa C. 96.946, "Labaronnie", sent. de 4-XI-2009; e.o.); de todas formas, la ecuación económica del contrato de seguro ha sido afectada significativamente.	</w:t>
        <w:br w:type="textWrapping"/>
      </w:r>
      <w:r>
        <w:rPr>
          <w:i/>
          <w:color w:val="000000"/>
          <w:lang w:val="es-AR" w:eastAsia="es-AR" w:bidi="es-AR"/>
        </w:rPr>
        <w:t xml:space="preserve"> 	(…) Por un lado, pues a partir de una oposición a la procedencia de la acción (v. fs. 69/75 vta.) la compañía ha dilatado el cumplimiento de su obligación de garantía a pesar de haber recibido el premio (y haberlo administrado) por más de diez años, época durante la cual el valor de cambio de la moneda ha ido modificándose, tal como justamente ha sido puesto de manifiesto por el paulatino incremento de la cobertura mínima obligatoria dispuesto por la autoridad de aplicación en la materia (a través de su contralor sobre la legitimidad, equidad y claridad del contrato, art. 25, ley 20.091). Por otro, porque incluso considerando la operatividad del fondo de primas para compromisos futuros de la aseguradora (arts. 30, 31, 33, 43 y concs., ley 20.091), no es posible soslayar en este esquema que las primas que se cobran hoy (sujetas a los valores actuales) son las que afrontan las coberturas judicializadas de ayer (conf. Stiglitz, Rubén, </w:t>
      </w:r>
      <w:r>
        <w:rPr>
          <w:rStyle w:val="Emphasis"/>
          <w:rFonts w:ascii="Calibri" w:hAnsi="Calibri" w:eastAsia="Calibri" w:cs="Calibri"/>
          <w:color w:val="000000"/>
          <w:lang w:val="es-AR" w:eastAsia="es-AR" w:bidi="es-AR"/>
        </w:rPr>
        <w:t xml:space="preserve">Derecho de Seguros</w:t>
      </w:r>
      <w:r>
        <w:rPr>
          <w:i/>
          <w:color w:val="000000"/>
          <w:lang w:val="es-AR" w:eastAsia="es-AR" w:bidi="es-AR"/>
        </w:rPr>
        <w:t xml:space="preserve">, 5° Ed. Act. y Ampl., Tomo I, LL, 2008, pág. 64).	</w:t>
        <w:br w:type="textWrapping"/>
      </w:r>
      <w:r>
        <w:rPr>
          <w:i/>
          <w:color w:val="000000"/>
          <w:lang w:val="es-AR" w:eastAsia="es-AR" w:bidi="es-AR"/>
        </w:rPr>
        <w:t xml:space="preserve"> 	(…) Esta doble ecuación revela -en una interpretación contextual sobre el sistema por el que se establece un límite mínimo de cobertura (conf. arts. 217 y 218, Cód. Com.)- la sobreviniente irrazonabilidad y carácter inequitativo de las prestaciones a cargo de la aseguradora, por alterar el sentido del contrato.	</w:t>
        <w:br w:type="textWrapping"/>
      </w:r>
      <w:r>
        <w:rPr>
          <w:i/>
          <w:color w:val="000000"/>
          <w:lang w:val="es-AR" w:eastAsia="es-AR" w:bidi="es-AR"/>
        </w:rPr>
        <w:t xml:space="preserve"> 	(…) En efecto, si bien el límite de cobertura constituye una cuestión esencial y subordinante de los demás elementos del seguro, también es cierto que al tiempo en que la compañía debe honrar sus compromisos asumidos el interés oportunamente asegurado luce sensiblemente reducido. Y en el marco de la cobertura básica del seguro de responsabilidad civil, ello implica que la prestación a cargo de la aseguradora sea finalmente por un monto muy inferior al de la garantía mínima vigente en tal momento, desvaneciéndose la tutela del damnificado para la efectiva percepción de su indemnización.</w:t>
        <w:br w:type="textWrapping"/>
      </w:r>
      <w:r>
        <w:rPr>
          <w:i/>
          <w:color w:val="000000"/>
          <w:lang w:val="es-AR" w:eastAsia="es-AR" w:bidi="es-AR"/>
        </w:rPr>
        <w:t xml:space="preserve"> 	 (…) Así, si la suma asegurada constituye de ordinario el límite de la obligación de la aseguradora, en la póliza básica del seguro obligatorio de responsabilidad civil ésta determina la cobertura mínima que el sistema ha instituido como umbral para afrontar el daño real y cierto que el siniestro haya causado a la víctima. Por lo que el sobreviniente carácter irrisorio de su cuantía finalmente resultante implica en los hechos que se constate un infraseguro, al evidenciar un monto tan exiguo en relación con la valuación actual del daño que la gran parte de éste queda fuera de la garantía, a cargo exclusivo del asegurado, como si no hubiese mediado seguro alguno (conf. arts. 499, 953, 1.071 y concs., Cód. Civ.).	</w:t>
        <w:br w:type="textWrapping"/>
      </w:r>
      <w:r>
        <w:rPr>
          <w:i/>
          <w:color w:val="000000"/>
          <w:lang w:val="es-AR" w:eastAsia="es-AR" w:bidi="es-AR"/>
        </w:rPr>
        <w:t xml:space="preserve"> 	(…) Si bien la magnitud de los daños provenientes de la responsabilidad civil automotor (en los términos del art. 68, ley 24.449) no puede ser lógicamente apreciada de antemano, el valor mínimo de la cobertura asegurada -que sí lo es- debe de algún modo mantener su relación con los mecanismos de valuación de los perjuicios derivados del siniestro (estimados al tiempo de la sentencia), pues la pérdida de dicha proporción o</w:t>
      </w:r>
      <w:r>
        <w:rPr>
          <w:rStyle w:val="Emphasis"/>
          <w:rFonts w:ascii="Calibri" w:hAnsi="Calibri" w:eastAsia="Calibri" w:cs="Calibri"/>
          <w:color w:val="000000"/>
          <w:lang w:val="es-AR" w:eastAsia="es-AR" w:bidi="es-AR"/>
        </w:rPr>
        <w:t xml:space="preserve"> ratio</w:t>
      </w:r>
      <w:r>
        <w:rPr>
          <w:i/>
          <w:color w:val="000000"/>
          <w:lang w:val="es-AR" w:eastAsia="es-AR" w:bidi="es-AR"/>
        </w:rPr>
        <w:t xml:space="preserve"> -tal como sucede en autos- lleva a la destrucción del interés asegurado y a la ausencia de equivalencia en las prestaciones resultantes (</w:t>
      </w:r>
      <w:r>
        <w:rPr>
          <w:rStyle w:val="Emphasis"/>
          <w:rFonts w:ascii="Calibri" w:hAnsi="Calibri" w:eastAsia="Calibri" w:cs="Calibri"/>
          <w:color w:val="000000"/>
          <w:lang w:val="es-AR" w:eastAsia="es-AR" w:bidi="es-AR"/>
        </w:rPr>
        <w:t xml:space="preserve">ratio</w:t>
      </w:r>
      <w:r>
        <w:rPr>
          <w:i/>
          <w:color w:val="000000"/>
          <w:lang w:val="es-AR" w:eastAsia="es-AR" w:bidi="es-AR"/>
        </w:rPr>
        <w:t xml:space="preserve"> premio/riesgo).	</w:t>
        <w:br w:type="textWrapping"/>
      </w:r>
      <w:r>
        <w:rPr>
          <w:i/>
          <w:color w:val="000000"/>
          <w:lang w:val="es-AR" w:eastAsia="es-AR" w:bidi="es-AR"/>
        </w:rPr>
        <w:t xml:space="preserve"> 	(…) II.3.b. A la vez patentiza un enriquecimiento indebido en beneficio de la aseguradora, reflejando una actitud contraria a los límites impuestos por la buena fe y la moral (conf. arts. 16, 21, 499, 502, 530, 907, 953, 1.071, 1.167 y concs., Cód. Civ.).	</w:t>
        <w:br w:type="textWrapping"/>
      </w:r>
      <w:r>
        <w:rPr>
          <w:i/>
          <w:color w:val="000000"/>
          <w:lang w:val="es-AR" w:eastAsia="es-AR" w:bidi="es-AR"/>
        </w:rPr>
        <w:t xml:space="preserve"> 	(…) En efecto, dado que el contrato de seguro no puede constituir un motivo de enriquecimiento sin causa para las partes, y por ello la obligación de resarcir a cargo de la compañía se encuentra limitada al monto de la suma asegurada siempre y cuando no supere el valor actual del interés asegurado (arts. 62, 65, 68 y concs., LS), corresponde bilateralizar dicha función privativa del enriquecimiento injusto de modo que el interés asegurado contemple el valor de la garantía mínima al momento de la valuación del daño contenida en la sentencia definitiva.	</w:t>
        <w:br w:type="textWrapping"/>
      </w:r>
      <w:r>
        <w:rPr>
          <w:i/>
          <w:color w:val="000000"/>
          <w:lang w:val="es-AR" w:eastAsia="es-AR" w:bidi="es-AR"/>
        </w:rPr>
        <w:t xml:space="preserve"> 	(…) A tal solución conduce la ejecución de buena fe de la garantía a cargo de la aseguradora (conf. arts. 5, 7, 11 y concs., LS). Pues cabe considerar al seguro como un contrato de consumo, por adhesión a cláusulas predispuestas por el asegurador, en el que el asegurado adhiere a un esquema rígido y uniforme, y tiene en la génesis negocial una posición de ostensible desigualdad, cuya tutela de sus derechos es ejercida por la autoridad de contralor, quien debe aprobar previamente el clausulado del contrato (y en este tópico, lo ha venido haciendo incrementando paulatinamente la cobertura mínima obligatoria, conf. arts. 23, 24, 25, 61 y concs., ley 20.091; 158, LS).	</w:t>
        <w:br w:type="textWrapping"/>
      </w:r>
      <w:r>
        <w:rPr>
          <w:i/>
          <w:color w:val="000000"/>
          <w:lang w:val="es-AR" w:eastAsia="es-AR" w:bidi="es-AR"/>
        </w:rPr>
        <w:t xml:space="preserve"> 	(…) Luego, si bien las cláusulas de delimitación del riesgo asumido por la compañía no pueden ser consideradas</w:t>
      </w:r>
      <w:r>
        <w:rPr>
          <w:rStyle w:val="Emphasis"/>
          <w:rFonts w:ascii="Calibri" w:hAnsi="Calibri" w:eastAsia="Calibri" w:cs="Calibri"/>
          <w:color w:val="000000"/>
          <w:lang w:val="es-AR" w:eastAsia="es-AR" w:bidi="es-AR"/>
        </w:rPr>
        <w:t xml:space="preserve"> ab initio</w:t>
      </w:r>
      <w:r>
        <w:rPr>
          <w:i/>
          <w:color w:val="000000"/>
          <w:lang w:val="es-AR" w:eastAsia="es-AR" w:bidi="es-AR"/>
        </w:rPr>
        <w:t xml:space="preserve"> abusivas, en tanto implican una limitación del riesgo por encima o debajo de la cual se carece de cobertura, es posible de todos modos que -considerando la situación global del contrato- su aplicación frente a ciertas situaciones sobrevinientes pueda resultarlo, como consecuencia de provocar un desequilibrio en los derechos y obligaciones, reduciendo sustancialmente las cargas de una de las partes en perjuicio de la otra (conf. arts. 42, Const. nac.; 3, 37 y concs., ley 24.240 y dec. 1.798/94), volviendo irrisoria la medida del seguro inicialmente contratado (´pacta sunt servanda rebus sic stantibus´).	</w:t>
        <w:br w:type="textWrapping"/>
      </w:r>
      <w:r>
        <w:rPr>
          <w:i/>
          <w:color w:val="000000"/>
          <w:lang w:val="es-AR" w:eastAsia="es-AR" w:bidi="es-AR"/>
        </w:rPr>
        <w:t xml:space="preserve"> 	(…) De modo que el orden público económico de protección al asegurado y a la víctima impone en estos casos, sin dilatar la esfera obligacional de la aseguradora, una revisión equitativa del contrato originario, lo que ha de implicar -por lo que se viene diciendo- incluir en la medida del seguro al valor de la garantía mínima vigente al momento de la valuación del daño contenida en la sentencia definitiva (conf. arts. 953, 1.037, 1.071, 1.137, 1.197, 1.198 y concs., Cód. Civ.; arts. 61, 109, 118 y concs., LS).	</w:t>
        <w:br w:type="textWrapping"/>
      </w:r>
      <w:r>
        <w:rPr>
          <w:i/>
          <w:color w:val="000000"/>
          <w:lang w:val="es-AR" w:eastAsia="es-AR" w:bidi="es-AR"/>
        </w:rPr>
        <w:t xml:space="preserve"> 	(…) II.3.c. Máxime en el presente caso, en el que la compañía tomó a su cargo la defensa técnica del asegurado (v. fs. 91/96), por lo que la dilación del proceso y sus resultantes consecuencias patrimoniales no deberían redundar en desmedro del derecho de defensa y los intereses de éste (conf. arts. 1, 17, 18, 75 inc. 22 y concs., Const. nac.; 1, 10, 11, 15 y concs., Const prov.).	</w:t>
        <w:br w:type="textWrapping"/>
      </w:r>
      <w:r>
        <w:rPr>
          <w:i/>
          <w:color w:val="000000"/>
          <w:lang w:val="es-AR" w:eastAsia="es-AR" w:bidi="es-AR"/>
        </w:rPr>
        <w:t xml:space="preserve"> 	(…) II.3.d. Para más, una aplicación literal de la cláusula de delimitación cuantitativa del riesgo contenida en la póliza resultaría asimismo sobrevinientemente frustratoria de la finalidad económico-social del seguro obligatorio (contrariando la indemnidad del patrimonio del asegurado, dejándolo desprotegido por una cobertura proporcionalmente muy inferior en relación con la magnitud del daño finalmente estimado, debiendo asumir la financiación de su descontextualización temporal) y destructora de su función preventiva (al desvirtuar la razón que diera nacimiento a la obligación del tomador de prevenir las consecuencias derivadas de su daño eventual, conf. art. 68, ley 24.449).	</w:t>
        <w:br w:type="textWrapping"/>
      </w:r>
      <w:r>
        <w:rPr>
          <w:i/>
          <w:color w:val="000000"/>
          <w:lang w:val="es-AR" w:eastAsia="es-AR" w:bidi="es-AR"/>
        </w:rPr>
        <w:t xml:space="preserve"> 	(…) Así como de su sentido solidarista, animador del dictado de los instrumentos legales en la materia; atendiendo a la función socializadora de los riesgos en miras de la tutela del superior interés dirigido al resarcimiento pleno de los daños padecidos por las víctimas. En efecto, el carácter irrisorio del resultado difuminaría en los hechos esa finalidad mutual de afrontar un riesgo colectivo a partir de un vínculo común tendiente a disminuir, moderar o eliminar el alea en conjunto, en base al empleo de la técnica jurídica, financiera, actuarial y estadística (conf. Stiglitz, Rubén, op. cit., Tomo I, pág. 8).	(…) II.3.e. Situación que adicionalmente repercutiría en la víctima, tal como se argumenta en el recurso en tratamiento, frente a quien se respondería en muy inferior proporción, frustrando el carácter obligatorio del seguro y su naturaleza indemnizatoria, con agravamiento del principio de efectiva reparación integral del daño padecido por aquélla, en perjuicio de su integridad, dignidad y propiedad, derechos amparados por garantías constitucionales (arts. 1, 14, 17, 19, 28, 31, 33, 42, 75 inc. 22 y concs., Const. nac.; 1, 10, 11, 31 y concs., Const. prov.; 1.068, 1.069, 1.109, 1.077, 1.079 y concs., Cód. Civ.).	</w:t>
        <w:br w:type="textWrapping"/>
      </w:r>
      <w:r>
        <w:rPr>
          <w:i/>
          <w:color w:val="000000"/>
          <w:lang w:val="es-AR" w:eastAsia="es-AR" w:bidi="es-AR"/>
        </w:rPr>
        <w:t xml:space="preserve"> 	(…) Es que el art. 68 de la ley 24.449, al imponer el requisito del seguro obligatorio, no pretende otra cosa que proteger -con carácter de orden público- a las víctimas de accidentes de tránsito y asegurar su reparación, poseyendo un verdadero fundamento tuitivo, de seguridad social. Dicha obligatoriedad es una pieza más del sistema de protección de las víctimas porque la garantía de solvencia que -en ejercicio de una función social- ofrecen las aseguradoras permite que los daños irrogados con el ejercicio de determinadas actividades (como ser la conducción de un automóvil) sean efectivamente reparados (conf. Mosset Iturraspe, Jorge y Rosatti, Horacio, "Derecho de tránsito. Ley 24.449", Rubinzal-Culzoni, Santa Fe, 1995, pág. 269 y sigs.).	</w:t>
        <w:br w:type="textWrapping"/>
      </w:r>
      <w:r>
        <w:rPr>
          <w:i/>
          <w:color w:val="000000"/>
          <w:lang w:val="es-AR" w:eastAsia="es-AR" w:bidi="es-AR"/>
        </w:rPr>
        <w:t xml:space="preserve"> 	(…) Así, el seguro obligatorio -que no se agota en la relación jurídica que vincula al asegurado con el asegurador- también obedece a una necesidad y función socializadora y colectivizadora de los riesgos, atenta primordialmente a la protección de la víctima a través de la efectiva reparación de sus daños; de modo que una razonable aplicación de las cláusulas del contrato, ponderadas a la luz de la tutela reglamentaria de la Superintendencia de Seguros de la Nación y del principio de reparación integral de los damnificados, debe llevar a extender la garantía contratada incorporando la cobertura básica vigente al momento de la valuación judicial del daño contenida en la sentencia definitiva, sustituyendo dicho componente en su valor histórico, y sin perjuicio del mayor valor pactado por encima de dicho mínimo obligatorio y las demás prestaciones o riesgos convencionalmente comprometidos por la aseguradora (conf. arts. 1, 14, 17, 19, 28, 31, 33, 75 inc. 22 y concs., Const. nac.; 16, 21, 499, 502, 530, 907, 953, 1.037, 1.068, 1.069, 1.071, 1.077, 1.079, 1.109, 1.137, 1.167, 1.197, 1.198 y concs., Cód. Civ.; 68 y concs., ley 24.449; 23, 24, 25, 30, 31, 33, 43, y concs., ley 20.091; 5, 7, 11, 61, 62, 65, 68, 69, 109, 118, 158 y concs., LS; 3, 37 y concs., ley 24.240; arts. 217, 218, 219 y concs., Cód. Com.; 47, 92 y concs., ley 11.430)”.	</w:t>
        <w:br w:type="textWrapping"/>
      </w:r>
      <w:r>
        <w:rPr>
          <w:i/>
          <w:color w:val="000000"/>
          <w:lang w:val="es-AR" w:eastAsia="es-AR" w:bidi="es-AR"/>
        </w:rPr>
        <w:t xml:space="preserve"> 	</w:t>
      </w:r>
      <w:r>
        <w:rPr>
          <w:color w:val="000000"/>
          <w:lang w:val="es-AR" w:eastAsia="es-AR" w:bidi="es-AR"/>
        </w:rPr>
        <w:t xml:space="preserve">Entiendo que no resulta atendible la alegada contradicción del criterio de la Corte provincial que con el establecido en la causa </w:t>
      </w:r>
      <w:r>
        <w:rPr>
          <w:i/>
          <w:color w:val="000000"/>
          <w:lang w:val="es-AR" w:eastAsia="es-AR" w:bidi="es-AR"/>
        </w:rPr>
        <w:t xml:space="preserve">“Gómez Rocca” </w:t>
      </w:r>
      <w:r>
        <w:rPr>
          <w:color w:val="000000"/>
          <w:lang w:val="es-AR" w:eastAsia="es-AR" w:bidi="es-AR"/>
        </w:rPr>
        <w:t xml:space="preserve">por la Corte Nacional (cf. CSJN, 12/08/2021), tal y como este Tribunal lo ha expresado en la causa "Moran" (</w:t>
      </w:r>
      <w:r>
        <w:rPr>
          <w:lang w:val="es-AR" w:eastAsia="es-AR" w:bidi="es-AR"/>
        </w:rPr>
        <w:t xml:space="preserve">Cámara de Apelación en lo Civil y Comercial del Departamento Judicial Pergamino, para dictar sentencia en la causa N° </w:t>
      </w:r>
      <w:r>
        <w:rPr>
          <w:color w:val="000000"/>
          <w:lang w:val="es-AR" w:eastAsia="es-AR" w:bidi="es-AR"/>
        </w:rPr>
        <w:t xml:space="preserve">5470-24</w:t>
      </w:r>
      <w:r>
        <w:rPr>
          <w:lang w:val="es-AR" w:eastAsia="es-AR" w:bidi="es-AR"/>
        </w:rPr>
        <w:t xml:space="preserve">  caratulada "</w:t>
      </w:r>
      <w:r>
        <w:rPr>
          <w:color w:val="000000"/>
          <w:lang w:val="es-AR" w:eastAsia="es-AR" w:bidi="es-AR"/>
        </w:rPr>
        <w:t xml:space="preserve">MORAN AGUSTINA C/ LAURICELLA, NATALIA Y OTROS, TODOS EN SU CARACTER DE HEREDEROS DEL SR. CARLOS ALBERTO LAURICELLA." S/ DAÑOS Y PERJ.AUTOM. C/LES. O MUERTE (EXC.ESTADO)"), 10/7/2025).</w:t>
      </w:r>
    </w:p>
    <w:p>
      <w:pPr>
        <w:pStyle w:val="[Normal]"/>
        <w:spacing w:line="360" w:lineRule="auto"/>
        <w:ind w:firstLine="1134"/>
        <w:jc w:val="both"/>
        <w:rPr>
          <w:color w:val="000000"/>
          <w:lang w:val="es-AR" w:eastAsia="es-AR" w:bidi="es-AR"/>
        </w:rPr>
      </w:pPr>
      <w:r>
        <w:rPr>
          <w:color w:val="000000"/>
          <w:lang w:val="es-AR" w:eastAsia="es-AR" w:bidi="es-AR"/>
        </w:rPr>
        <w:t xml:space="preserve">En primer lugar, la plataforma fáctica y jurídica es visiblemente diferente en sendos precedentes. En </w:t>
      </w:r>
      <w:r>
        <w:rPr>
          <w:i/>
          <w:color w:val="000000"/>
          <w:lang w:val="es-AR" w:eastAsia="es-AR" w:bidi="es-AR"/>
        </w:rPr>
        <w:t xml:space="preserve">“Gómez Rocca”</w:t>
      </w:r>
      <w:r>
        <w:rPr>
          <w:color w:val="000000"/>
          <w:lang w:val="es-AR" w:eastAsia="es-AR" w:bidi="es-AR"/>
        </w:rPr>
        <w:t xml:space="preserve">, la CSJN se refiere al seguro de responsabilidad civil contratado por un establecimiento educativo (instituto privado), con invocación del art. 1117 del Código Civil (texto derogado).  Se trata de un seguro exigido reglamentariamente en el marco de la educación de gestión privada, no reglado con un tope mínimo por parte de la SSN. En </w:t>
      </w:r>
      <w:r>
        <w:rPr>
          <w:i/>
          <w:color w:val="000000"/>
          <w:lang w:val="es-AR" w:eastAsia="es-AR" w:bidi="es-AR"/>
        </w:rPr>
        <w:t xml:space="preserve">“Martínez”</w:t>
      </w:r>
      <w:r>
        <w:rPr>
          <w:color w:val="000000"/>
          <w:lang w:val="es-AR" w:eastAsia="es-AR" w:bidi="es-AR"/>
        </w:rPr>
        <w:t xml:space="preserve">, la SCBA analiza un seguro de responsabilidad civil derivado de un accidente de tránsito, y aborda especialmente los efectos económicos del tiempo transcurrido entre el hecho y la sentencia sobre la garantía asegurativa, en el marco de una relación de consumo y contrato por adhesión.-</w:t>
      </w:r>
    </w:p>
    <w:p>
      <w:pPr>
        <w:pStyle w:val="[Normal]"/>
        <w:spacing w:line="360" w:lineRule="auto"/>
        <w:ind w:firstLine="1134"/>
        <w:jc w:val="both"/>
        <w:rPr>
          <w:color w:val="000000"/>
          <w:lang w:val="es-AR" w:eastAsia="es-AR" w:bidi="es-AR"/>
        </w:rPr>
      </w:pPr>
      <w:r>
        <w:rPr>
          <w:color w:val="000000"/>
          <w:lang w:val="es-AR" w:eastAsia="es-AR" w:bidi="es-AR"/>
        </w:rPr>
        <w:t xml:space="preserve">En segundo término, el sentido de lo resuelto en tales causas discurre por carriles lógicos y jurídicos diferentes. En </w:t>
      </w:r>
      <w:r>
        <w:rPr>
          <w:i/>
          <w:color w:val="000000"/>
          <w:lang w:val="es-AR" w:eastAsia="es-AR" w:bidi="es-AR"/>
        </w:rPr>
        <w:t xml:space="preserve">“Gómez Rocca”</w:t>
      </w:r>
      <w:r>
        <w:rPr>
          <w:color w:val="000000"/>
          <w:lang w:val="es-AR" w:eastAsia="es-AR" w:bidi="es-AR"/>
        </w:rPr>
        <w:t xml:space="preserve">, la Corte Nacional señaló que el contrato fue lícito, con prima convenida, y que no existió norma imperativa que impusiera una cobertura mayor. En ese marco, se sostuvo que el juez no podía crear una obligación a cargo de la aseguradora más allá de lo pactado.  En </w:t>
      </w:r>
      <w:r>
        <w:rPr>
          <w:i/>
          <w:color w:val="000000"/>
          <w:lang w:val="es-AR" w:eastAsia="es-AR" w:bidi="es-AR"/>
        </w:rPr>
        <w:t xml:space="preserve">“Martínez”</w:t>
      </w:r>
      <w:r>
        <w:rPr>
          <w:color w:val="000000"/>
          <w:lang w:val="es-AR" w:eastAsia="es-AR" w:bidi="es-AR"/>
        </w:rPr>
        <w:t xml:space="preserve">, en cambio, la SCBA (seguida por la Cámara) interpretó que la aplicación literal del límite de cobertura contratado muchos años antes -aunque autorizado por la SSN- devenía abusivo e irrazonable, por frustrar la finalidad del seguro, desnaturalizar el contrato y afectar el principio de reparación integral.-</w:t>
      </w:r>
    </w:p>
    <w:p>
      <w:pPr>
        <w:pStyle w:val="[Normal]"/>
        <w:spacing w:line="360" w:lineRule="auto"/>
        <w:ind w:firstLine="1134"/>
        <w:jc w:val="both"/>
        <w:rPr>
          <w:color w:val="000000"/>
          <w:lang w:val="es-AR" w:eastAsia="es-AR" w:bidi="es-AR"/>
        </w:rPr>
      </w:pPr>
      <w:r>
        <w:rPr>
          <w:color w:val="000000"/>
          <w:lang w:val="es-AR" w:eastAsia="es-AR" w:bidi="es-AR"/>
        </w:rPr>
        <w:t xml:space="preserve">En tercer término, no existe contradicción normativa en las soluciones arbitradas por sendos tribunales. A saber, la CSJN no impone en “</w:t>
      </w:r>
      <w:r>
        <w:rPr>
          <w:i/>
          <w:color w:val="000000"/>
          <w:lang w:val="es-AR" w:eastAsia="es-AR" w:bidi="es-AR"/>
        </w:rPr>
        <w:t xml:space="preserve">Gómez Rocca” </w:t>
      </w:r>
      <w:r>
        <w:rPr>
          <w:color w:val="000000"/>
          <w:lang w:val="es-AR" w:eastAsia="es-AR" w:bidi="es-AR"/>
        </w:rPr>
        <w:t xml:space="preserve">una regla general que prohíba considerar la evolución del valor asegurado, sino que reafirma los límites del contrato de seguro conforme a su objeto y a las pautas reglamentarias vigentes en el caso concreto. Por su parte, la SCBA —en “Martínez”— reconoce la existencia de un límite pactado conforme a lo autorizado en su momento por la SSN, pero interpreta que, a la luz del contexto socioeconómico y del principio de buena fe, dicho límite resulta irrazonable si se pretende oponer en la ejecución de una sentencia dictada muchos años después.  Esto no infringe el principio de legalidad contractual, sino que lo integra con principios constitucionales y de derecho del consumo.-</w:t>
      </w:r>
    </w:p>
    <w:p>
      <w:pPr>
        <w:pStyle w:val="[Normal]"/>
        <w:spacing w:line="360" w:lineRule="auto"/>
        <w:ind w:firstLine="1134"/>
        <w:jc w:val="both"/>
        <w:rPr>
          <w:color w:val="000000"/>
          <w:lang w:val="es-AR" w:eastAsia="es-AR" w:bidi="es-AR"/>
        </w:rPr>
      </w:pPr>
      <w:r>
        <w:rPr>
          <w:color w:val="000000"/>
          <w:lang w:val="es-AR" w:eastAsia="es-AR" w:bidi="es-AR"/>
        </w:rPr>
        <w:t xml:space="preserve">En conclusión, entiendo que no hay contradicción entre </w:t>
      </w:r>
      <w:r>
        <w:rPr>
          <w:i/>
          <w:color w:val="000000"/>
          <w:lang w:val="es-AR" w:eastAsia="es-AR" w:bidi="es-AR"/>
        </w:rPr>
        <w:t xml:space="preserve">“Martínez”</w:t>
      </w:r>
      <w:r>
        <w:rPr>
          <w:color w:val="000000"/>
          <w:lang w:val="es-AR" w:eastAsia="es-AR" w:bidi="es-AR"/>
        </w:rPr>
        <w:t xml:space="preserve"> y </w:t>
      </w:r>
      <w:r>
        <w:rPr>
          <w:i/>
          <w:color w:val="000000"/>
          <w:lang w:val="es-AR" w:eastAsia="es-AR" w:bidi="es-AR"/>
        </w:rPr>
        <w:t xml:space="preserve">“Gómez Rocca”</w:t>
      </w:r>
      <w:r>
        <w:rPr>
          <w:color w:val="000000"/>
          <w:lang w:val="es-AR" w:eastAsia="es-AR" w:bidi="es-AR"/>
        </w:rPr>
        <w:t xml:space="preserve">, porque tratan supuestos fácticos y normativos distintos, aplican principios contractuales compatibles entre sí y, en definitiva, la CSJN no prohíbe la revisión judicial de cláusulas abusivas, sino que tan sólo afirma que, en ese caso, no se configuraba una obligación legal de extender la cobertura.-</w:t>
      </w:r>
    </w:p>
    <w:p>
      <w:pPr>
        <w:pStyle w:val="[Normal]"/>
        <w:spacing w:line="360" w:lineRule="auto"/>
        <w:ind w:firstLine="1134"/>
        <w:jc w:val="both"/>
        <w:rPr>
          <w:color w:val="000000"/>
          <w:lang w:val="es-AR" w:eastAsia="es-AR" w:bidi="es-AR"/>
        </w:rPr>
      </w:pPr>
      <w:r>
        <w:rPr>
          <w:color w:val="000000"/>
          <w:lang w:val="es-AR" w:eastAsia="es-AR" w:bidi="es-AR"/>
        </w:rPr>
        <w:t xml:space="preserve">Por tanto, sostener la prevalencia automática de “Gómez Rocca” sobre </w:t>
      </w:r>
      <w:r>
        <w:rPr>
          <w:i/>
          <w:color w:val="000000"/>
          <w:lang w:val="es-AR" w:eastAsia="es-AR" w:bidi="es-AR"/>
        </w:rPr>
        <w:t xml:space="preserve">“Martínez”</w:t>
      </w:r>
      <w:r>
        <w:rPr>
          <w:color w:val="000000"/>
          <w:lang w:val="es-AR" w:eastAsia="es-AR" w:bidi="es-AR"/>
        </w:rPr>
        <w:t xml:space="preserve"> no es jurídicamente correcto, salvo que los supuestos fácticos y normativos fueran análogos, lo cual -como se ha demostrado- no se verifica en la especie.</w:t>
      </w:r>
    </w:p>
    <w:p>
      <w:pPr>
        <w:pStyle w:val="[Normal]"/>
        <w:spacing w:line="360" w:lineRule="auto"/>
        <w:ind w:firstLine="1134"/>
        <w:jc w:val="both"/>
        <w:rPr>
          <w:color w:val="000000"/>
          <w:lang w:val="es-AR" w:eastAsia="es-AR" w:bidi="es-AR"/>
        </w:rPr>
      </w:pPr>
      <w:r>
        <w:rPr>
          <w:color w:val="000000"/>
          <w:lang w:val="es-AR" w:eastAsia="es-AR" w:bidi="es-AR"/>
        </w:rPr>
        <w:t xml:space="preserve">En virtud de lo expuesto, corresponde acoger el agravio expresado por la parte actora y, en consecuencia, aplicar la solución establecida en la doctrina legal de la Corte provincial disponiendo la aplicación del límite de cobertura vigente al tiempo de la presente sentencia.</w:t>
      </w:r>
    </w:p>
    <w:p>
      <w:pPr>
        <w:pStyle w:val="[Normal]"/>
        <w:spacing w:line="360" w:lineRule="auto"/>
        <w:jc w:val="both"/>
        <w:rPr>
          <w:color w:val="000000"/>
          <w:lang w:val="es-AR" w:eastAsia="es-AR" w:bidi="es-AR"/>
        </w:rPr>
      </w:pPr>
      <w:r>
        <w:rPr>
          <w:color w:val="000000"/>
          <w:lang w:val="es-AR" w:eastAsia="es-AR" w:bidi="es-AR"/>
        </w:rPr>
        <w:t xml:space="preserve"> 	VII.- En cuanto al agravio relativo a la </w:t>
      </w:r>
      <w:r>
        <w:rPr>
          <w:lang w:val="es-AR" w:eastAsia="es-AR" w:bidi="es-AR"/>
        </w:rPr>
        <w:t xml:space="preserve">n</w:t>
      </w:r>
      <w:r>
        <w:rPr>
          <w:color w:val="000000"/>
          <w:lang w:val="es-AR" w:eastAsia="es-AR" w:bidi="es-AR"/>
        </w:rPr>
        <w:t xml:space="preserve">o aplicabilidad de la doctrina Barrios por el tramo anterior a la sentencia de primera instancia, entiendo que el mismo no resulta procedente.</w:t>
      </w:r>
    </w:p>
    <w:p>
      <w:pPr>
        <w:pStyle w:val="[Normal]"/>
        <w:spacing w:line="360" w:lineRule="auto"/>
        <w:jc w:val="both"/>
        <w:rPr>
          <w:lang w:val="es-AR" w:eastAsia="es-AR" w:bidi="es-AR"/>
        </w:rPr>
      </w:pPr>
      <w:r>
        <w:rPr>
          <w:lang w:val="es-AR" w:eastAsia="es-AR" w:bidi="es-AR"/>
        </w:rPr>
        <w:t xml:space="preserve"> 	En relación al tramo temporal anterior a la sentencia, entiendo que toda vez que los rubros de referencia han sido establecidos a valores contemporáneos a la fecha de la sentencia (daño patrimonial, moral y gastos médicos) , no corresponde declarar la inconstitucionalidad de la mentada ley por el referido período, ya que en relación a tal etapa no habría desmedro del contenido económico del crédito merced a la valuación efectuada en el pronunciamiento de mérito.-</w:t>
      </w:r>
    </w:p>
    <w:p>
      <w:pPr>
        <w:pStyle w:val="[Normal]"/>
        <w:spacing w:line="360" w:lineRule="auto"/>
        <w:ind w:firstLine="1134"/>
        <w:jc w:val="both"/>
        <w:rPr>
          <w:lang w:val="es-AR" w:eastAsia="es-AR" w:bidi="es-AR"/>
        </w:rPr>
      </w:pPr>
      <w:r>
        <w:rPr>
          <w:lang w:val="es-AR" w:eastAsia="es-AR" w:bidi="es-AR"/>
        </w:rPr>
        <w:t xml:space="preserve">A mayor abundamiento, he de señalar que la actualización de un crédito es un mecanismo por medio del cual el objeto de la obligación se expresa a valores corrientes o de acuerdo a parámetros económicos actualizados.  Esto resulta especialmente necesario en contextos en los que transcurre tiempo entre el nacimiento y el cumplimiento de la obligación y una coyuntura inflacionaria altera el poder adquisitivo de la moneda en la que se expresa o se cuantifica la deuda (Cf. Cámara de Apelaciones en lo Civil y Comercial de Mar del Plata, </w:t>
      </w:r>
      <w:r>
        <w:rPr>
          <w:i/>
          <w:lang w:val="es-AR" w:eastAsia="es-AR" w:bidi="es-AR"/>
        </w:rPr>
        <w:t xml:space="preserve">“DOWNIE, Débora Paola c. LA MERCANTIL ANDINA s. CUMPLIMIENTO DE CONTRATO”,</w:t>
      </w:r>
      <w:r>
        <w:rPr>
          <w:lang w:val="es-AR" w:eastAsia="es-AR" w:bidi="es-AR"/>
        </w:rPr>
        <w:t xml:space="preserve"> 18/3/25).-</w:t>
      </w:r>
    </w:p>
    <w:p>
      <w:pPr>
        <w:pStyle w:val="[Normal]"/>
        <w:spacing w:line="360" w:lineRule="auto"/>
        <w:ind w:firstLine="1134"/>
        <w:jc w:val="both"/>
        <w:rPr>
          <w:lang w:val="es-AR" w:eastAsia="es-AR" w:bidi="es-AR"/>
        </w:rPr>
      </w:pPr>
      <w:r>
        <w:rPr>
          <w:lang w:val="es-AR" w:eastAsia="es-AR" w:bidi="es-AR"/>
        </w:rPr>
        <w:t xml:space="preserve">Pero esa actualización, como género, contempla diversas especies.-</w:t>
      </w:r>
    </w:p>
    <w:p>
      <w:pPr>
        <w:pStyle w:val="[Normal]"/>
        <w:spacing w:line="360" w:lineRule="auto"/>
        <w:ind w:firstLine="1134"/>
        <w:jc w:val="both"/>
        <w:rPr>
          <w:lang w:val="es-AR" w:eastAsia="es-AR" w:bidi="es-AR"/>
        </w:rPr>
      </w:pPr>
      <w:r>
        <w:rPr>
          <w:lang w:val="es-AR" w:eastAsia="es-AR" w:bidi="es-AR"/>
        </w:rPr>
        <w:t xml:space="preserve">Una es el reajuste o actualización por índices en la que el valor nominal del capital fluctúa al son de un parámetro o índice que opera como referencia externa, modalidad actualmente prohibida por los art. 7 y 10 de la Ley 23.928 y que ha sido declarada inconstitucional en el fallo "Barrios" conforme a las especiales circunstancias que se verificasen en dicha causa.-</w:t>
      </w:r>
    </w:p>
    <w:p>
      <w:pPr>
        <w:pStyle w:val="[Normal]"/>
        <w:spacing w:line="360" w:lineRule="auto"/>
        <w:ind w:firstLine="1134"/>
        <w:jc w:val="both"/>
        <w:rPr>
          <w:lang w:val="es-AR" w:eastAsia="es-AR" w:bidi="es-AR"/>
        </w:rPr>
      </w:pPr>
      <w:r>
        <w:rPr>
          <w:lang w:val="es-AR" w:eastAsia="es-AR" w:bidi="es-AR"/>
        </w:rPr>
        <w:t xml:space="preserve">Otra es la valuación del daño a valores contemporáneos a la fecha de la sentencia (SCBA, "Vera, Juan Carlos contra Provincia de Buenos Aires. Daños y perjuicios", causa C. 120.536, 18/04/2018; </w:t>
      </w:r>
      <w:r>
        <w:rPr>
          <w:color w:val="000000"/>
          <w:shd w:val="clear" w:color="auto" w:fill="FFFFFF"/>
          <w:lang w:val="es-AR" w:eastAsia="es-AR" w:bidi="es-AR"/>
        </w:rPr>
        <w:t xml:space="preserve">SCJBA, "Nidera S. A. contra Provincia de Buenos Aires. Daños y perjuicios", C. 121.134, 3/5/2018) </w:t>
      </w:r>
      <w:r>
        <w:rPr>
          <w:lang w:val="es-AR" w:eastAsia="es-AR" w:bidi="es-AR"/>
        </w:rPr>
        <w:t xml:space="preserve">o difiriendo la valuación del daño a un momento ulterior (SCBA, entre muchísimos otros, véase c. 101.107 -“</w:t>
      </w:r>
      <w:r>
        <w:rPr>
          <w:i/>
          <w:lang w:val="es-AR" w:eastAsia="es-AR" w:bidi="es-AR"/>
        </w:rPr>
        <w:t xml:space="preserve">Arbizu</w:t>
      </w:r>
      <w:r>
        <w:rPr>
          <w:lang w:val="es-AR" w:eastAsia="es-AR" w:bidi="es-AR"/>
        </w:rPr>
        <w:t xml:space="preserve">...”- del 23/03/2010 c. 117735 -"</w:t>
      </w:r>
      <w:r>
        <w:rPr>
          <w:i/>
          <w:lang w:val="es-AR" w:eastAsia="es-AR" w:bidi="es-AR"/>
        </w:rPr>
        <w:t xml:space="preserve">Bi Launek</w:t>
      </w:r>
      <w:r>
        <w:rPr>
          <w:lang w:val="es-AR" w:eastAsia="es-AR" w:bidi="es-AR"/>
        </w:rPr>
        <w:t xml:space="preserve">"- del 24/09/2014, c. 117501 -"</w:t>
      </w:r>
      <w:r>
        <w:rPr>
          <w:i/>
          <w:lang w:val="es-AR" w:eastAsia="es-AR" w:bidi="es-AR"/>
        </w:rPr>
        <w:t xml:space="preserve">Martinez</w:t>
      </w:r>
      <w:r>
        <w:rPr>
          <w:lang w:val="es-AR" w:eastAsia="es-AR" w:bidi="es-AR"/>
        </w:rPr>
        <w:t xml:space="preserve">"- del 04/03/2015).  En ambas, campea la noción de deuda de valor que, con el claro propósito de evitar las distorsiones que genera el nominalismo en coyunturas inflacionarias— permite concebir al objeto debido como un </w:t>
      </w:r>
      <w:r>
        <w:rPr>
          <w:i/>
          <w:lang w:val="es-AR" w:eastAsia="es-AR" w:bidi="es-AR"/>
        </w:rPr>
        <w:t xml:space="preserve">quid </w:t>
      </w:r>
      <w:r>
        <w:rPr>
          <w:lang w:val="es-AR" w:eastAsia="es-AR" w:bidi="es-AR"/>
        </w:rPr>
        <w:t xml:space="preserve">o </w:t>
      </w:r>
      <w:r>
        <w:rPr>
          <w:i/>
          <w:lang w:val="es-AR" w:eastAsia="es-AR" w:bidi="es-AR"/>
        </w:rPr>
        <w:t xml:space="preserve">valor </w:t>
      </w:r>
      <w:r>
        <w:rPr>
          <w:lang w:val="es-AR" w:eastAsia="es-AR" w:bidi="es-AR"/>
        </w:rPr>
        <w:t xml:space="preserve">a ser cuantificado en un momento posterior al nacimiento de la deuda o incluso expresarlo en una moneda sin curso legal.-</w:t>
      </w:r>
    </w:p>
    <w:p>
      <w:pPr>
        <w:pStyle w:val="[Normal]"/>
        <w:spacing w:line="360" w:lineRule="auto"/>
        <w:ind w:firstLine="1134"/>
        <w:jc w:val="both"/>
        <w:rPr>
          <w:lang w:val="es-AR" w:eastAsia="es-AR" w:bidi="es-AR"/>
        </w:rPr>
      </w:pPr>
      <w:r>
        <w:rPr>
          <w:lang w:val="es-AR" w:eastAsia="es-AR" w:bidi="es-AR"/>
        </w:rPr>
        <w:t xml:space="preserve">Finalmente, la solución tradicional ha sido procurar dicha actualización mediante el uso de una tasa de interés moratoria como mecanismo indirecto de actualización (CSJN Fallos: 347:1446, in re “</w:t>
      </w:r>
      <w:r>
        <w:rPr>
          <w:i/>
          <w:lang w:val="es-AR" w:eastAsia="es-AR" w:bidi="es-AR"/>
        </w:rPr>
        <w:t xml:space="preserve">Barrientos, Gabriela </w:t>
      </w:r>
      <w:r>
        <w:rPr>
          <w:lang w:val="es-AR" w:eastAsia="es-AR" w:bidi="es-AR"/>
        </w:rPr>
        <w:t xml:space="preserve">“, del 15/10/2024).-</w:t>
      </w:r>
    </w:p>
    <w:p>
      <w:pPr>
        <w:pStyle w:val="[Normal]"/>
        <w:spacing w:line="360" w:lineRule="auto"/>
        <w:ind w:firstLine="1134"/>
        <w:jc w:val="both"/>
        <w:rPr>
          <w:lang w:val="es-AR" w:eastAsia="es-AR" w:bidi="es-AR"/>
        </w:rPr>
      </w:pPr>
      <w:r>
        <w:rPr>
          <w:lang w:val="es-AR" w:eastAsia="es-AR" w:bidi="es-AR"/>
        </w:rPr>
        <w:t xml:space="preserve">Con lo expuesto, queda en evidencia que actualizar no necesariamente supone repotenciar o reajustar por índices, toda vez que se puede llegar al primer resultado (actualización) a través de distintas vías o métodos.-</w:t>
      </w:r>
    </w:p>
    <w:p>
      <w:pPr>
        <w:pStyle w:val="[Normal]"/>
        <w:spacing w:line="360" w:lineRule="auto"/>
        <w:ind w:firstLine="1134"/>
        <w:jc w:val="both"/>
        <w:rPr>
          <w:i/>
          <w:lang w:val="es-AR" w:eastAsia="es-AR" w:bidi="es-AR"/>
        </w:rPr>
      </w:pPr>
      <w:r>
        <w:rPr>
          <w:lang w:val="es-AR" w:eastAsia="es-AR" w:bidi="es-AR"/>
        </w:rPr>
        <w:t xml:space="preserve">La conveniencia de indexar un crédito (en contraste con utilizar tasas bancarias sobre el tramo dinerario de una deuda de valor ya cuantificada) dependerá de las características del caso, de numerosas variables macroeconómicas y de la extensión temporal de la mora, entre otras variables.  En particular, depende de cuándo el valor fue convertido a dinero, cuándo se cancela la deuda, cómo es la evolución comparada de las tasas y el IPC en los períodos posteriores a la conversión, etcétera.  Con un índice de inflación decreciente no son pocos los escenarios en los que al actor le conviene que a su deuda de valor ya convertida en dinero se le incorpore una tasa de interés activa en contraste con el mero reajuste por índices y una tasa pura del 6% anual</w:t>
      </w:r>
      <w:r>
        <w:rPr>
          <w:b/>
          <w:lang w:val="es-AR" w:eastAsia="es-AR" w:bidi="es-AR"/>
        </w:rPr>
        <w:t xml:space="preserve"> (cf. cit. Cámara de Apelaciones en lo Civil y Comercial de Mar del Plata, </w:t>
      </w:r>
      <w:r>
        <w:rPr>
          <w:b/>
          <w:i/>
          <w:lang w:val="es-AR" w:eastAsia="es-AR" w:bidi="es-AR"/>
        </w:rPr>
        <w:t xml:space="preserve">“DOWNIE...</w:t>
      </w:r>
      <w:r>
        <w:rPr>
          <w:i/>
          <w:lang w:val="es-AR" w:eastAsia="es-AR" w:bidi="es-AR"/>
        </w:rPr>
        <w:t xml:space="preserve">").-</w:t>
      </w:r>
    </w:p>
    <w:p>
      <w:pPr>
        <w:pStyle w:val="[Normal]"/>
        <w:spacing w:line="360" w:lineRule="auto"/>
        <w:ind w:firstLine="1134"/>
        <w:jc w:val="both"/>
        <w:rPr>
          <w:i/>
          <w:lang w:val="es-AR" w:eastAsia="es-AR" w:bidi="es-AR"/>
        </w:rPr>
      </w:pPr>
      <w:r>
        <w:rPr>
          <w:lang w:val="es-AR" w:eastAsia="es-AR" w:bidi="es-AR"/>
        </w:rPr>
        <w:t xml:space="preserve">En este sentido, bien se ha dicho que:</w:t>
      </w:r>
      <w:r>
        <w:rPr>
          <w:i/>
          <w:lang w:val="es-AR" w:eastAsia="es-AR" w:bidi="es-AR"/>
        </w:rPr>
        <w:t xml:space="preserve"> "la aplicación automatizada de indexaciones no reclamadas por el titular del crédito, sin evaluar su resultado en cada caso concreto (según la evolución de las tasas e índices en los períodos implicados), constituye una práctica potencialmente problemática que incrementa un doble riesgo: (a) el primero, dictar decisiones incongruentes que afecten derechos fundamentales de los litigantes; (b) el segundo, asignarle a la jurisdicción un rol institucional que no le es propio, pues el juzgador termina por prescindir de la voluntad del titular de un derecho patrimonial disponible (quien, asesorado por un abogado de matrícula, elige libremente cómo proteger su acreencia frente a la inflación) y la reemplaza por una decisión estatal oficiosa que, paradójicamente, tiene aptitud para perjudicar o empeorar la situación de aquel a quien se intenta proteger (arts. 18 CN y 15 CPBA</w:t>
      </w:r>
      <w:r>
        <w:rPr>
          <w:b/>
          <w:i/>
          <w:u w:val="single"/>
          <w:lang w:val="es-AR" w:eastAsia="es-AR" w:bidi="es-AR"/>
        </w:rPr>
        <w:t xml:space="preserve">; mi voto en causa 170768 -"Banco de la Provincia de Buenos Aires c/ Cambre, Mauro"- sent. del 12/03/2021)"</w:t>
      </w:r>
      <w:r>
        <w:rPr>
          <w:b/>
          <w:u w:val="single"/>
          <w:lang w:val="es-AR" w:eastAsia="es-AR" w:bidi="es-AR"/>
        </w:rPr>
        <w:t xml:space="preserve"> (cit . Cámara de Apelaciones en lo Civil y Comercial de Mar del Plata, </w:t>
      </w:r>
      <w:r>
        <w:rPr>
          <w:b/>
          <w:i/>
          <w:u w:val="single"/>
          <w:lang w:val="es-AR" w:eastAsia="es-AR" w:bidi="es-AR"/>
        </w:rPr>
        <w:t xml:space="preserve">“DOWNIE.</w:t>
      </w:r>
      <w:r>
        <w:rPr>
          <w:i/>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Finalmente, debe recordarse que la declaración de inconstitucionalidad (de ineludible aplicación a los fines de actualizar vía indexación) constituye una solución extrema que debe ceder ante la posibilidad de articular otros mecanismos que permitan arribar a una respuesta jurídica no lesiva de los derechos y garantías constitucionales.-</w:t>
      </w:r>
    </w:p>
    <w:p>
      <w:pPr>
        <w:pStyle w:val="[Normal]"/>
        <w:spacing w:line="360" w:lineRule="auto"/>
        <w:ind w:firstLine="1134"/>
        <w:jc w:val="both"/>
        <w:rPr>
          <w:lang w:val="es-AR" w:eastAsia="es-AR" w:bidi="es-AR"/>
        </w:rPr>
      </w:pPr>
      <w:r>
        <w:rPr>
          <w:lang w:val="es-AR" w:eastAsia="es-AR" w:bidi="es-AR"/>
        </w:rPr>
        <w:t xml:space="preserve">En relación a ello, y vinculado a la temática en ciernes, la Corte Suprema de Justicia de la Provincia de Buenos Aires, en el caso </w:t>
      </w:r>
      <w:r>
        <w:rPr>
          <w:i/>
          <w:lang w:val="es-AR" w:eastAsia="es-AR" w:bidi="es-AR"/>
        </w:rPr>
        <w:t xml:space="preserve">"Barrios"</w:t>
      </w:r>
      <w:r>
        <w:rPr>
          <w:lang w:val="es-AR" w:eastAsia="es-AR" w:bidi="es-AR"/>
        </w:rPr>
        <w:t xml:space="preserve"> -que ya fuera citado-, estableció claramente que la declaración de inconstitucionalidad del artículo 7 de la ley 23.928 (que prohíbe la indexación) debe ser considerada como la última ratio. Antes de recurrir a esta medida excepcional, los jueces deben agotar otras alternativas y mecanismos legales disponibles para proteger el crédito afectado por la inflación.-</w:t>
      </w:r>
    </w:p>
    <w:p>
      <w:pPr>
        <w:pStyle w:val="[Normal]"/>
        <w:spacing w:line="360" w:lineRule="auto"/>
        <w:ind w:firstLine="1134"/>
        <w:jc w:val="both"/>
        <w:rPr>
          <w:lang w:val="es-AR" w:eastAsia="es-AR" w:bidi="es-AR"/>
        </w:rPr>
      </w:pPr>
      <w:r>
        <w:rPr>
          <w:lang w:val="es-AR" w:eastAsia="es-AR" w:bidi="es-AR"/>
        </w:rPr>
        <w:t xml:space="preserve">Según el fallo, los jueces tienen mayor libertad para definir el mecanismo de protección del crédito mientras se debate en el proceso.  No solo pueden, sino que deben preferir cualquier solución no indexatoria, incluso mediante la aplicación analógica de normas. La solución constitucional, es decir, la declaración de inconstitucionalidad y el reajuste del crédito por índice, fue, es y seguirá siendo la última opción disponible.-</w:t>
      </w:r>
    </w:p>
    <w:p>
      <w:pPr>
        <w:pStyle w:val="[Normal]"/>
        <w:spacing w:line="360" w:lineRule="auto"/>
        <w:ind w:firstLine="1134"/>
        <w:jc w:val="both"/>
        <w:rPr>
          <w:lang w:val="es-AR" w:eastAsia="es-AR" w:bidi="es-AR"/>
        </w:rPr>
      </w:pPr>
      <w:r>
        <w:rPr>
          <w:lang w:val="es-AR" w:eastAsia="es-AR" w:bidi="es-AR"/>
        </w:rPr>
        <w:t xml:space="preserve">El ministro Soria ha sido enfático en este punto, indicando que solo excepcionalmente, y cuando esas herramientas o caminos alternativos no logren el fin propuesto y decanten en una intolerable afectación del derecho creditorio del actor, puede el tribunal declarar la inconstitucionalidad del art. 7 de la Ley 23.928, y siempre que las demás condiciones del caso lo justifiquen.-</w:t>
      </w:r>
    </w:p>
    <w:p>
      <w:pPr>
        <w:pStyle w:val="[Normal]"/>
        <w:spacing w:line="360" w:lineRule="auto"/>
        <w:ind w:firstLine="1134"/>
        <w:jc w:val="both"/>
        <w:rPr>
          <w:color w:val="000000"/>
          <w:lang w:val="es-AR" w:eastAsia="es-AR" w:bidi="es-AR"/>
        </w:rPr>
      </w:pPr>
      <w:r>
        <w:rPr>
          <w:lang w:val="es-AR" w:eastAsia="es-AR" w:bidi="es-AR"/>
        </w:rPr>
        <w:t xml:space="preserve">En virtud de ello, y atento a que no se ha logrado demostrar la ineficacia y/o insuficiencia de las restantes alternativas de actualización, propiciaré el rechazo del agravio actoral expresado en tal sentido.</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Acoger parcialmente el recurso de apelación deducido por la parte actora, ordenando en consecuencia incrementar el rubro daño por incapacidad sobreviniente a la suma de </w:t>
      </w:r>
      <w:r>
        <w:rPr>
          <w:color w:val="000000"/>
          <w:lang w:val="es-AR" w:eastAsia="es-AR" w:bidi="es-AR"/>
        </w:rPr>
        <w:t xml:space="preserve">$ 13.296.847,05 y rubro daño moral a la suma de $ 4.653.895,71. Tales montos deberán ajustarse conforme a la distribución causal finalmente dispuesta en esta instancia conforme lo establecido en el punto 2 del presente resolutorio, quedando fijados consecuentemente en las sumas de $ 5.318.738,82 y </w:t>
      </w:r>
      <w:r>
        <w:rPr>
          <w:lang w:val="es-AR" w:eastAsia="es-AR" w:bidi="es-AR"/>
        </w:rPr>
        <w:t xml:space="preserve">$ 1.861.558,29 respectivamente.</w:t>
      </w:r>
    </w:p>
    <w:p>
      <w:pPr>
        <w:pStyle w:val="[Normal]"/>
        <w:spacing w:line="360" w:lineRule="auto"/>
        <w:ind w:firstLine="1134"/>
        <w:jc w:val="both"/>
        <w:rPr>
          <w:lang w:val="es-AR" w:eastAsia="es-AR" w:bidi="es-AR"/>
        </w:rPr>
      </w:pPr>
      <w:r>
        <w:rPr>
          <w:lang w:val="es-AR" w:eastAsia="es-AR" w:bidi="es-AR"/>
        </w:rPr>
        <w:t xml:space="preserve">2) Acoger parcialmente el recurso de apelación deducido por la parte demandada, redefiniendo la atribución causal en un sesenta por ciento (60%) a cargo del actor y en un cuarenta por ciento (40%) a cargo de la demandada, con los consiguientes efectos en la extensión de la condena y en el alcance de la cobertura asegurativa.</w:t>
      </w:r>
    </w:p>
    <w:p>
      <w:pPr>
        <w:pStyle w:val="[Normal]"/>
        <w:spacing w:line="360" w:lineRule="auto"/>
        <w:ind w:firstLine="1134"/>
        <w:jc w:val="both"/>
        <w:rPr>
          <w:lang w:val="es-AR" w:eastAsia="es-AR" w:bidi="es-AR"/>
        </w:rPr>
      </w:pPr>
      <w:r>
        <w:rPr>
          <w:lang w:val="es-AR" w:eastAsia="es-AR" w:bidi="es-AR"/>
        </w:rPr>
        <w:t xml:space="preserve">3) Atento al modo en que ha quedado resuelta la cuestión, y al resultado mixto con acogimiento parcial de agravios y reconfiguración de la responsabilidad y la cuantía indemnizatoria, corresponde imponer las costas en un 70% a la parte demandada y un 30% a la parte actora (cf. art. 68 y 71).</w:t>
      </w:r>
    </w:p>
    <w:p>
      <w:pPr>
        <w:pStyle w:val="[Normal]"/>
        <w:spacing w:line="360" w:lineRule="auto"/>
        <w:ind w:firstLine="1134"/>
        <w:jc w:val="both"/>
        <w:rPr>
          <w:lang w:val="es-AR" w:eastAsia="es-AR" w:bidi="es-AR"/>
        </w:rPr>
      </w:pPr>
      <w:r>
        <w:rPr>
          <w:lang w:val="es-AR" w:eastAsia="es-AR" w:bidi="es-AR"/>
        </w:rPr>
        <w:t xml:space="preserve">4) Diferir la regulación de honorarios hasta tanto obren los de primera instancia (art. 51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jc w:val="both"/>
        <w:rPr>
          <w:b/>
          <w:u w:val="single"/>
          <w:lang w:val="es-AR" w:eastAsia="es-AR" w:bidi="es-AR"/>
        </w:rPr>
      </w:pPr>
      <w:r>
        <w:rPr>
          <w:b/>
          <w:lang w:val="es-AR" w:eastAsia="es-AR" w:bidi="es-AR"/>
        </w:rPr>
        <w:t xml:space="preserve"> 	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Acoger parcialmente el recurso de apelación deducido por la parte actora, ordenando en consecuencia incrementar el rubro daño por incapacidad sobreviniente a la suma de </w:t>
      </w:r>
      <w:r>
        <w:rPr>
          <w:color w:val="000000"/>
          <w:lang w:val="es-AR" w:eastAsia="es-AR" w:bidi="es-AR"/>
        </w:rPr>
        <w:t xml:space="preserve">$ 13.296.847,05 y rubro daño moral a la suma de $ 4.653.895,71. Tales montos deberán ajustarse conforme a la distribución causal finalmente dispuesta en esta instancia conforme lo establecido en el punto 2 del presente resolutorio, quedando fijados consecuentemente en las sumas de $ 5.318.738,82 y </w:t>
      </w:r>
      <w:r>
        <w:rPr>
          <w:lang w:val="es-AR" w:eastAsia="es-AR" w:bidi="es-AR"/>
        </w:rPr>
        <w:t xml:space="preserve">$ 1.861.558,29 respectivamente.</w:t>
      </w:r>
    </w:p>
    <w:p>
      <w:pPr>
        <w:pStyle w:val="[Normal]"/>
        <w:spacing w:line="360" w:lineRule="auto"/>
        <w:ind w:firstLine="1134"/>
        <w:jc w:val="both"/>
        <w:rPr>
          <w:lang w:val="es-AR" w:eastAsia="es-AR" w:bidi="es-AR"/>
        </w:rPr>
      </w:pPr>
      <w:r>
        <w:rPr>
          <w:lang w:val="es-AR" w:eastAsia="es-AR" w:bidi="es-AR"/>
        </w:rPr>
        <w:t xml:space="preserve">2) Acoger parcialmente el recurso de apelación deducido por la parte demandada, redefiniendo la atribución causal en un sesenta por ciento (60%) a cargo del actor y en un cuarenta por ciento (40%) a cargo de la demandada, con los consiguientes efectos en la extensión de la condena y en el alcance de la cobertura asegurativa.</w:t>
      </w:r>
    </w:p>
    <w:p>
      <w:pPr>
        <w:pStyle w:val="[Normal]"/>
        <w:spacing w:line="360" w:lineRule="auto"/>
        <w:ind w:firstLine="1134"/>
        <w:jc w:val="both"/>
        <w:rPr>
          <w:lang w:val="es-AR" w:eastAsia="es-AR" w:bidi="es-AR"/>
        </w:rPr>
      </w:pPr>
      <w:r>
        <w:rPr>
          <w:lang w:val="es-AR" w:eastAsia="es-AR" w:bidi="es-AR"/>
        </w:rPr>
        <w:t xml:space="preserve">3) Atento al modo en que ha quedado resuelta la cuestión, y al resultado mixto con acogimiento parcial de agravios y reconfiguración de la responsabilidad y la cuantía indemnizatoria, corresponde imponer las costas en un 70% a la parte demandada y un 30% a la parte actora (cf. art. 68 y 71).</w:t>
      </w:r>
    </w:p>
    <w:p>
      <w:pPr>
        <w:pStyle w:val="[Normal]"/>
        <w:spacing w:line="360" w:lineRule="auto"/>
        <w:ind w:firstLine="1134"/>
        <w:jc w:val="both"/>
        <w:rPr>
          <w:lang w:val="es-AR" w:eastAsia="es-AR" w:bidi="es-AR"/>
        </w:rPr>
      </w:pPr>
      <w:r>
        <w:rPr>
          <w:lang w:val="es-AR" w:eastAsia="es-AR" w:bidi="es-AR"/>
        </w:rPr>
        <w:t xml:space="preserve">4) Diferir la regulación de honorarios hasta tanto obren los de primera instancia (art. 51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color w:val="000000"/>
          <w:lang w:val="es-AR" w:eastAsia="es-AR" w:bidi="es-AR"/>
        </w:rPr>
        <w:t xml:space="preserve">-</w:t>
      </w:r>
    </w:p>
    <w:p>
      <w:pPr>
        <w:pStyle w:val="[Normal]"/>
        <w:spacing w:line="360" w:lineRule="auto"/>
        <w:jc w:val="both"/>
        <w:rPr>
          <w:lang w:val="es-AR" w:eastAsia="es-AR" w:bidi="es-AR"/>
        </w:rPr>
      </w:pPr>
    </w:p>
    <w:p>
      <w:pPr>
        <w:pStyle w:val="[Normal]"/>
        <w:spacing w:line="360" w:lineRule="auto"/>
        <w:jc w:val="both"/>
        <w:rPr>
          <w:color w:val="000000"/>
          <w:lang w:val="es-AR" w:eastAsia="es-AR" w:bidi="es-AR"/>
        </w:rPr>
      </w:pPr>
    </w:p>
    <w:p>
      <w:pPr>
        <w:pStyle w:val="[Normal]"/>
        <w:spacing w:line="360" w:lineRule="auto"/>
        <w:jc w:val="both"/>
        <w:rPr>
          <w:color w:val="000000"/>
          <w:lang w:val="es-AR" w:eastAsia="es-AR" w:bidi="es-AR"/>
        </w:rPr>
      </w:pPr>
    </w:p>
    <w:p>
      <w:pPr>
        <w:pStyle w:val="[Normal]"/>
        <w:spacing w:line="360" w:lineRule="auto"/>
        <w:ind w:firstLine="1134"/>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20338138157@NOTIFICACIONES.SCBA.GOV.AR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23132282609@NOTIFICACIONES.SCBA.GOV.AR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12:03:55 -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12:06:39 -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12:19:16 -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‰8T")è&amp;TrÀ7Š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245202090006528295</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07/10/2025 12:21:33 hs. bajo el número RS-143-2025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phasis">
    <w:name w:val="Emphasis"/>
    <w:qFormat/>
    <w:rPr>
      <w:rFonts w:ascii="Times New Roman" w:hAnsi="Times New Roman" w:eastAsia="Times New Roman" w:cs="Times New Roman"/>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