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5846-25</w:t>
      </w:r>
      <w:r>
        <w:rPr>
          <w:lang w:val="es-AR" w:eastAsia="es-AR" w:bidi="es-AR"/>
        </w:rPr>
        <w:t xml:space="preserve"> caratulada </w:t>
      </w:r>
      <w:r>
        <w:rPr>
          <w:b/>
          <w:lang w:val="es-AR" w:eastAsia="es-AR" w:bidi="es-AR"/>
        </w:rPr>
        <w:t xml:space="preserve">"D., E. B. C/ P., J. J. S/ALIMENTOS"</w:t>
      </w:r>
      <w:r>
        <w:rPr>
          <w:lang w:val="es-AR" w:eastAsia="es-AR" w:bidi="es-AR"/>
        </w:rPr>
        <w:t xml:space="preserve">, Expte. N° 47.261 del Juzgado de Paz Letrado de Colón,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señora Jueza de la anterior instancia falló en la presente haciendo lugar a la demanda incoada por la Sra. E. B. D. en representación de sus hijos menores, condenando en consecuencia al Sr. J. J. P. a abonar en concepto de cuota alimentaria mensual la suma que ascienda al cincuenta y cinco por ciento (55%) de los haberes jubilatorios brutos menos deducciones de ley y que por todo concepto perciba -incluyendo SAC- al momento de exigibilidad de la cuota con más el pago de la cuota del instituto educativo al que concurren los menores y aporte a la obra social IOMA. Ordena al Sr. P. cumpla mensualmente con presentar su recibo de haberes a los fines de contralor del correcto pago. En caso negativo, se procederá a ordenar la retención por parte de IPS. Difirió la determinación de la cuota suplementaria. Reguló honorarios en resolución separada.</w:t>
      </w:r>
    </w:p>
    <w:p>
      <w:pPr>
        <w:pStyle w:val="[Normal]"/>
        <w:spacing w:line="360" w:lineRule="auto"/>
        <w:ind w:firstLine="1134"/>
        <w:jc w:val="both"/>
        <w:rPr>
          <w:lang w:val="es-AR" w:eastAsia="es-AR" w:bidi="es-AR"/>
        </w:rPr>
      </w:pPr>
      <w:r>
        <w:rPr>
          <w:lang w:val="es-AR" w:eastAsia="es-AR" w:bidi="es-AR"/>
        </w:rPr>
        <w:t xml:space="preserve">En fecha 19/6/2025 apeló el demandado, quien fundó su recurso mediante la presentación de fecha 11/7/2025. </w:t>
      </w:r>
    </w:p>
    <w:p>
      <w:pPr>
        <w:pStyle w:val="[Normal]"/>
        <w:spacing w:line="360" w:lineRule="auto"/>
        <w:ind w:firstLine="1134"/>
        <w:jc w:val="both"/>
        <w:rPr>
          <w:lang w:val="es-AR" w:eastAsia="es-AR" w:bidi="es-AR"/>
        </w:rPr>
      </w:pPr>
      <w:r>
        <w:rPr>
          <w:lang w:val="es-AR" w:eastAsia="es-AR" w:bidi="es-AR"/>
        </w:rPr>
        <w:t xml:space="preserve">Se alza el recurrente contra el monto fijado</w:t>
      </w:r>
      <w:r>
        <w:rPr>
          <w:b/>
          <w:lang w:val="es-AR" w:eastAsia="es-AR" w:bidi="es-AR"/>
        </w:rPr>
        <w:t xml:space="preserve"> </w:t>
      </w:r>
      <w:r>
        <w:rPr>
          <w:lang w:val="es-AR" w:eastAsia="es-AR" w:bidi="es-AR"/>
        </w:rPr>
        <w:t xml:space="preserve">de la cuota la cual considera elevada y de imposible cumplimiento, teniendo en cuenta su capacidad económica, pues ha sido fijada en el 55% de la jubilación que percibe como Ex Bombero y más el pago de la escuela de los niños y la obra social. Sustenta su desacuerdo sintéticamente en tres puntos: 1) Incorrecta interpretación de los hechos invocados por las partes, 2) la valoración de la prueba producida por la juzgadora 3) la errónea y arbitraria aplicación del derecho y 4) la determinación de la cuota suplementaria, la cual considera de imposible cumplimiento. Solicita en definitiva que se revoque la sentencia estableciendo una cuota alimentaria que ascienda al 30% de su jubilación con costas.</w:t>
      </w:r>
    </w:p>
    <w:p>
      <w:pPr>
        <w:pStyle w:val="[Normal]"/>
        <w:spacing w:line="360" w:lineRule="auto"/>
        <w:ind w:firstLine="1134"/>
        <w:jc w:val="both"/>
        <w:rPr>
          <w:lang w:val="es-AR" w:eastAsia="es-AR" w:bidi="es-AR"/>
        </w:rPr>
      </w:pPr>
      <w:r>
        <w:rPr>
          <w:lang w:val="es-AR" w:eastAsia="es-AR" w:bidi="es-AR"/>
        </w:rPr>
        <w:t xml:space="preserve">Conferido el traslado pertinente, fue evacuado por la contraparte en fecha 26/8/2025, quien peticionó el rechazo del recurso deducido previo rebatir los argumentos esgrimidos por el quejoso y solicitó se confirme la sentencia, con costas.</w:t>
      </w:r>
    </w:p>
    <w:p>
      <w:pPr>
        <w:pStyle w:val="[Normal]"/>
        <w:spacing w:line="360" w:lineRule="auto"/>
        <w:ind w:firstLine="1134"/>
        <w:jc w:val="both"/>
        <w:rPr>
          <w:lang w:val="es-AR" w:eastAsia="es-AR" w:bidi="es-AR"/>
        </w:rPr>
      </w:pPr>
      <w:r>
        <w:rPr>
          <w:lang w:val="es-AR" w:eastAsia="es-AR" w:bidi="es-AR"/>
        </w:rPr>
        <w:t xml:space="preserve">En fecha 3/9/2025 se confirió vista al señor Asesor de Incapaces </w:t>
      </w:r>
      <w:r>
        <w:rPr>
          <w:i/>
          <w:lang w:val="es-AR" w:eastAsia="es-AR" w:bidi="es-AR"/>
        </w:rPr>
        <w:t xml:space="preserve">ad hoc</w:t>
      </w:r>
      <w:r>
        <w:rPr>
          <w:lang w:val="es-AR" w:eastAsia="es-AR" w:bidi="es-AR"/>
        </w:rPr>
        <w:t xml:space="preserve">, que fuera evacuada el día 11/9/2025, sosteniendo que la pieza recursiva debe ser desestimada, y confirmarse el fallo atacado.</w:t>
      </w:r>
    </w:p>
    <w:p>
      <w:pPr>
        <w:pStyle w:val="[Normal]"/>
        <w:spacing w:line="360" w:lineRule="auto"/>
        <w:ind w:firstLine="1134"/>
        <w:jc w:val="both"/>
        <w:rPr>
          <w:lang w:val="es-AR" w:eastAsia="es-AR" w:bidi="es-AR"/>
        </w:rPr>
      </w:pPr>
      <w:r>
        <w:rPr>
          <w:lang w:val="es-AR" w:eastAsia="es-AR" w:bidi="es-AR"/>
        </w:rPr>
        <w:t xml:space="preserve">Ingresados los autos a esta Alzada el 19/9/2025, se dicta el llamamiento de autos para resolver el 30/9/2025,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I.- Liminarmente, y dando respuesta a la cuestión traída, debo decir que no se encuentra aquí cuestionada la obligación alimentaria que pesa sobre el demandado, sino que el descontento es esgrimido por el progenitor -Sr. P.- en cuanto al porcentaje fijado por la operadora de origen, el cual considera arbitrario, desproporcionado en relación a su situación económica y desajustado a la necesidades de los alimentados, fijando parte en especie y concediéndole de tal modo más de lo que la accionante solicitó en la demanda.</w:t>
      </w:r>
    </w:p>
    <w:p>
      <w:pPr>
        <w:pStyle w:val="[Normal]"/>
        <w:spacing w:line="360" w:lineRule="auto"/>
        <w:ind w:firstLine="1134"/>
        <w:jc w:val="both"/>
        <w:rPr>
          <w:lang w:val="es-AR" w:eastAsia="es-AR" w:bidi="es-AR"/>
        </w:rPr>
      </w:pPr>
      <w:r>
        <w:rPr>
          <w:lang w:val="es-AR" w:eastAsia="es-AR" w:bidi="es-AR"/>
        </w:rPr>
        <w:t xml:space="preserve">Entrando a resolver, debo señalar que el quantum de la cuota alimentaria debe determinarse atendiendo el interés superior del niño y su derecho al sustento y a un nivel de vida adecuado (arts. 3 inc.1, 6, 24, 27 inc.1, 28 y 31 de la Convención sobre los Derechos del Niño; art. 75 inc.22 de la Constitución Nacional).-</w:t>
      </w:r>
    </w:p>
    <w:p>
      <w:pPr>
        <w:pStyle w:val="[Normal]"/>
        <w:spacing w:line="360" w:lineRule="auto"/>
        <w:ind w:firstLine="1134"/>
        <w:jc w:val="both"/>
        <w:rPr>
          <w:lang w:val="es-AR" w:eastAsia="es-AR" w:bidi="es-AR"/>
        </w:rPr>
      </w:pPr>
      <w:r>
        <w:rPr>
          <w:lang w:val="es-AR" w:eastAsia="es-AR" w:bidi="es-AR"/>
        </w:rPr>
        <w:t xml:space="preserve">En dicho orden, ha puntualizado la Corte Suprema de la Nación, que la prestación alimentaria tiene raíz constitucional (sent. del 16-V-2000, LL, 2001-B-638).</w:t>
      </w:r>
    </w:p>
    <w:p>
      <w:pPr>
        <w:pStyle w:val="[Normal]"/>
        <w:spacing w:line="360" w:lineRule="auto"/>
        <w:ind w:firstLine="1134"/>
        <w:jc w:val="both"/>
        <w:rPr>
          <w:lang w:val="es-AR" w:eastAsia="es-AR" w:bidi="es-AR"/>
        </w:rPr>
      </w:pPr>
      <w:r>
        <w:rPr>
          <w:lang w:val="es-AR" w:eastAsia="es-AR" w:bidi="es-AR"/>
        </w:rPr>
        <w:t xml:space="preserve">Ha de partirse asimismo de la base de que los arts. 658, 659, 660 y ccs. del CCyC establecen el sistema de igualdad de padre y madre, pesando la obligación debida a los hijos menores sobre ambos progenitores, incidiendo en el monto de la cuota, la situación económica de las partes y las necesidades del menor acorde a su edad, debiendo tenerse en cuenta para fijar su importe, las contribuciones que el progenitor conviviente realiza en especie a través de cuidado, atención y educación (conf. SCBA Ac.101337 del 12-8-2008, citado por esta Cámara en causa Nº 735-10 RSD 11 del 11/2/2011).</w:t>
      </w:r>
    </w:p>
    <w:p>
      <w:pPr>
        <w:pStyle w:val="[Normal]"/>
        <w:spacing w:line="360" w:lineRule="auto"/>
        <w:ind w:firstLine="1134"/>
        <w:jc w:val="both"/>
        <w:rPr>
          <w:lang w:val="es-AR" w:eastAsia="es-AR" w:bidi="es-AR"/>
        </w:rPr>
      </w:pPr>
      <w:r>
        <w:rPr>
          <w:lang w:val="es-AR" w:eastAsia="es-AR" w:bidi="es-AR"/>
        </w:rPr>
        <w:t xml:space="preserve">Asimismo, deben tenerse presente la situación económica y social tanto del alimentante como del alimentado, es decir que las posibilidades deberán determinarse a partir de una evaluación conjunta del patrimonio entendido como una universalidad jurídica (bienes, créditos, cargas, rentas) y del status social que ocupan efectivamente ambos sujetos, así como de la profesión que ambos tienen.-</w:t>
      </w:r>
    </w:p>
    <w:p>
      <w:pPr>
        <w:pStyle w:val="[Normal]"/>
        <w:spacing w:line="360" w:lineRule="auto"/>
        <w:ind w:firstLine="1134"/>
        <w:jc w:val="both"/>
        <w:rPr>
          <w:lang w:val="es-AR" w:eastAsia="es-AR" w:bidi="es-AR"/>
        </w:rPr>
      </w:pPr>
      <w:r>
        <w:rPr>
          <w:lang w:val="es-AR" w:eastAsia="es-AR" w:bidi="es-AR"/>
        </w:rPr>
        <w:t xml:space="preserve">Este recorrido permite avizorar las tres técnicas de apreciación de la situación económica y social de los litigantes: aquella que versa sobre las actividades de cada uno, el sistema de vida de las partes considerando un examen global de su modus vivendi y la tercera se vincula con los ingresos de la que convive con el niño, que en este caso es la madre.-</w:t>
      </w:r>
    </w:p>
    <w:p>
      <w:pPr>
        <w:pStyle w:val="[Normal]"/>
        <w:spacing w:line="360" w:lineRule="auto"/>
        <w:ind w:firstLine="1134"/>
        <w:jc w:val="both"/>
        <w:rPr>
          <w:lang w:val="es-AR" w:eastAsia="es-AR" w:bidi="es-AR"/>
        </w:rPr>
      </w:pPr>
      <w:r>
        <w:rPr>
          <w:lang w:val="es-AR" w:eastAsia="es-AR" w:bidi="es-AR"/>
        </w:rPr>
        <w:t xml:space="preserve">No se encuentra controvertido que los tres hijos de las partes, tienen actualmente 17, 12 y 10 años, asisten a un establecimiento privado abonando una cuota mensual - Instituto Santa Marta- y realizan actividades extraescolares tales como baile, clases de lenguaje de señas y van al club (Cfr. documental agregada con el escrito de demanda).</w:t>
      </w:r>
    </w:p>
    <w:p>
      <w:pPr>
        <w:pStyle w:val="[Normal]"/>
        <w:spacing w:line="360" w:lineRule="auto"/>
        <w:ind w:firstLine="1134"/>
        <w:jc w:val="both"/>
        <w:rPr>
          <w:lang w:val="es-AR" w:eastAsia="es-AR" w:bidi="es-AR"/>
        </w:rPr>
      </w:pPr>
      <w:r>
        <w:rPr>
          <w:lang w:val="es-AR" w:eastAsia="es-AR" w:bidi="es-AR"/>
        </w:rPr>
        <w:t xml:space="preserve">También es preciso tener en cuenta que los niños viven con su madre, en la casa que era hogar conyugal por la cual no abona suma alguna, ubicada en la ciudad vecina de Colón y que es la progenitora quien pasa mayor tiempo con ellos, tales circunstancias han sido meritados por la operadora de grado en su resolución (art. 660 del CCCN).-</w:t>
      </w:r>
    </w:p>
    <w:p>
      <w:pPr>
        <w:pStyle w:val="[Normal]"/>
        <w:spacing w:line="360" w:lineRule="auto"/>
        <w:ind w:firstLine="1134"/>
        <w:jc w:val="both"/>
        <w:rPr>
          <w:lang w:val="es-AR" w:eastAsia="es-AR" w:bidi="es-AR"/>
        </w:rPr>
      </w:pPr>
      <w:r>
        <w:rPr>
          <w:lang w:val="es-AR" w:eastAsia="es-AR" w:bidi="es-AR"/>
        </w:rPr>
        <w:t xml:space="preserve">La accionante trabaja en relación de dependencia en el Super Mercado la Anónima y percibe Asignación Familiar por sus tres hijos de Anses (contestación oficio agregado en fecha 27/2/2025) (circunstancias que no esta controvertida entre las partes). </w:t>
      </w:r>
    </w:p>
    <w:p>
      <w:pPr>
        <w:pStyle w:val="[Normal]"/>
        <w:spacing w:line="360" w:lineRule="auto"/>
        <w:ind w:firstLine="1134"/>
        <w:jc w:val="both"/>
        <w:rPr>
          <w:lang w:val="es-AR" w:eastAsia="es-AR" w:bidi="es-AR"/>
        </w:rPr>
      </w:pPr>
      <w:r>
        <w:rPr>
          <w:lang w:val="es-AR" w:eastAsia="es-AR" w:bidi="es-AR"/>
        </w:rPr>
        <w:t xml:space="preserve">En otro extremo tenemos al Sr. P. quien es jubilado de su actividad como Bombero, de 52 años de edad, percibiendo una jubilación que ascendía en noviembre del 2024 a la suma de $717.514 (25/2/2025). Que a su vez realiza una actividad extra que le genera un ingreso, por el cual facturó en el período 2/24 al 1/25 la suma total de $4.746.329, lo que hace a un ingreso mensual promedio de $ 395.527,41 (Oficio agregado 25/2/2025), sobre el cual debo de resaltar que tal monto no es percibido en un cien por ciento, pues lo cierto es que parte de ello debe ser destinada al giro del negocio para reponer la mercadería que ha vendido, conforme lo manifestara el demandado en su memorial. Sin perjuicio de ello, queda evidenciada en el caso la capacidad económica con que cuenta el demandado. A lo que debe sumarse que los menores no viven con el progenitor, conforme surge reconocido por este último en su responde (P.E. 16/10/24).</w:t>
      </w:r>
    </w:p>
    <w:p>
      <w:pPr>
        <w:pStyle w:val="[Normal]"/>
        <w:spacing w:line="360" w:lineRule="auto"/>
        <w:ind w:firstLine="1134"/>
        <w:jc w:val="both"/>
        <w:rPr>
          <w:lang w:val="es-AR" w:eastAsia="es-AR" w:bidi="es-AR"/>
        </w:rPr>
      </w:pPr>
      <w:r>
        <w:rPr>
          <w:lang w:val="es-AR" w:eastAsia="es-AR" w:bidi="es-AR"/>
        </w:rPr>
        <w:t xml:space="preserve">A su vez el recurrente vive con sus padres en una vivienda de pertenencia de estos últimos. Posee un automóvil a su nombre, el cual utiliza para hacer repartos de la actividad que desempeña, y abona a los niños la obra social IOMA, conforme surge de la respuesta del oficio agregado 27/12/2024 y el colegio privado, como ha sido reconocido al contestar la demanda. </w:t>
      </w:r>
    </w:p>
    <w:p>
      <w:pPr>
        <w:pStyle w:val="[Normal]"/>
        <w:spacing w:line="360" w:lineRule="auto"/>
        <w:ind w:firstLine="1134"/>
        <w:jc w:val="both"/>
        <w:rPr>
          <w:lang w:val="es-AR" w:eastAsia="es-AR" w:bidi="es-AR"/>
        </w:rPr>
      </w:pPr>
      <w:r>
        <w:rPr>
          <w:lang w:val="es-AR" w:eastAsia="es-AR" w:bidi="es-AR"/>
        </w:rPr>
        <w:t xml:space="preserve">Todos estos extremos han sido considerados por la juzgadora, y me llevan concluir que los ingresos del accionado, resultan considerables a fin de poder hacer frente a la obligación alimentaria impuesta, sin embargo y en atención a la situación de la progenitora, estimo que no en la proporción establecida. </w:t>
      </w:r>
    </w:p>
    <w:p>
      <w:pPr>
        <w:pStyle w:val="[Normal]"/>
        <w:spacing w:line="360" w:lineRule="auto"/>
        <w:ind w:firstLine="1134"/>
        <w:jc w:val="both"/>
        <w:rPr>
          <w:lang w:val="es-AR" w:eastAsia="es-AR" w:bidi="es-AR"/>
        </w:rPr>
      </w:pPr>
      <w:r>
        <w:rPr>
          <w:lang w:val="es-AR" w:eastAsia="es-AR" w:bidi="es-AR"/>
        </w:rPr>
        <w:t xml:space="preserve">Ello en razón de que la fijación realizada por la operadora de origen es elevada en cuanto al porcentaje establecido, lo que sumado a la parte en especie dejaría afectado en mayor medida el ingreso que percibe el demandado como jubilado. En que, haciendo los cálculos aritméticos del caso, el demandado percibe de jubilación la suma $ 717.514 (Nov 2024-Cfr. 25/2/2025), el 55% sobre dicho monto ascendería a $394.632, lo que sumado al pago de la escuela ($60.000) y de IOMA ($74.727), resultaría una cuota que supera el 70 % de la jubilación que percibe el demandado mensual, a lo que debe adunarse que aquel contribuye con el rubro vivienda, la cual es una contribución que realiza al estar la misma a nombre del abuelo paterno de los menores, y por el cual la progenitora no paga alquiler alguno. </w:t>
      </w:r>
    </w:p>
    <w:p>
      <w:pPr>
        <w:pStyle w:val="[Normal]"/>
        <w:spacing w:line="360" w:lineRule="auto"/>
        <w:ind w:firstLine="1134"/>
        <w:jc w:val="both"/>
        <w:rPr>
          <w:lang w:val="es-AR" w:eastAsia="es-AR" w:bidi="es-AR"/>
        </w:rPr>
      </w:pPr>
      <w:r>
        <w:rPr>
          <w:lang w:val="es-AR" w:eastAsia="es-AR" w:bidi="es-AR"/>
        </w:rPr>
        <w:t xml:space="preserve">Hemos dicho desde aquí, que corresponde a ambos progenitores en la proporción de sus respectivos ingresos la obligación alimentaria, debiendo considerarse la contribución del progenitor con quien los hijos residen de manera principal (doctr. art. 650 y ccs. del CCC), pues éste realiza aportes en especie de significación económica, además de la atención que prestan los hijos en los múltiples requerimientos cotidianos, y que implica una inversión de tiempo a la que debe atribuírsele valor. </w:t>
      </w:r>
    </w:p>
    <w:p>
      <w:pPr>
        <w:pStyle w:val="[Normal]"/>
        <w:spacing w:line="360" w:lineRule="auto"/>
        <w:ind w:firstLine="1134"/>
        <w:jc w:val="both"/>
        <w:rPr>
          <w:lang w:val="es-AR" w:eastAsia="es-AR" w:bidi="es-AR"/>
        </w:rPr>
      </w:pPr>
      <w:r>
        <w:rPr>
          <w:lang w:val="es-AR" w:eastAsia="es-AR" w:bidi="es-AR"/>
        </w:rPr>
        <w:t xml:space="preserve">No resulta ocioso aquí resaltar que el progenitor reconoce que viene abonando los rubros en especie que fueron considerados en el fallo y que no existe de su parte oposición a seguir abonando dichos rubros, por lo que debemos confirmar los mismos.</w:t>
      </w:r>
    </w:p>
    <w:p>
      <w:pPr>
        <w:pStyle w:val="[Normal]"/>
        <w:spacing w:line="360" w:lineRule="auto"/>
        <w:ind w:firstLine="1134"/>
        <w:jc w:val="both"/>
        <w:rPr>
          <w:lang w:val="es-AR" w:eastAsia="es-AR" w:bidi="es-AR"/>
        </w:rPr>
      </w:pPr>
      <w:r>
        <w:rPr>
          <w:lang w:val="es-AR" w:eastAsia="es-AR" w:bidi="es-AR"/>
        </w:rPr>
        <w:t xml:space="preserve">Sin embargo, el 55% establecido sobre el monto que percibe como jubilado, resulta elevado, por lo que propongo su reducción.</w:t>
      </w:r>
    </w:p>
    <w:p>
      <w:pPr>
        <w:pStyle w:val="[Normal]"/>
        <w:spacing w:line="360" w:lineRule="auto"/>
        <w:ind w:firstLine="1134"/>
        <w:jc w:val="both"/>
        <w:rPr>
          <w:lang w:val="es-AR" w:eastAsia="es-AR" w:bidi="es-AR"/>
        </w:rPr>
      </w:pPr>
      <w:r>
        <w:rPr>
          <w:lang w:val="es-AR" w:eastAsia="es-AR" w:bidi="es-AR"/>
        </w:rPr>
        <w:t xml:space="preserve">En consecuencia, luego de un análisis estimativo y razonable del art. 659 del Código Civil y Comercial, ajustado a las circunstancias de autos (edad de los niños, modalidad de cuidado, contexto económico general, etc.), ponderando por un lado que la cuota debe guardar relación con las necesidades que tiende a cubrir y la aptitud del obligado para llenar tal finalidad, estimo razonable y propongo como resolución reducir el porcentaje establecido, fijando la misma en el importe mensual a la suma equivalente al 30 % de la jubilación que percibe  (deducidos únicamente los descuentos de ley), siendo extensivo tal porcentaje al SAC y a cualquier otro tipo de beneficio social no remunerativo que pudiera percibir el demandado, con  más el pago de la cuota del Colegio Santa Marta y/o aquel donde asistan los menores y el pago de la obra social (arts. 658, 659, 660 y ccs del CCCN).  </w:t>
      </w:r>
    </w:p>
    <w:p>
      <w:pPr>
        <w:pStyle w:val="[Normal]"/>
        <w:spacing w:line="360" w:lineRule="auto"/>
        <w:ind w:firstLine="1134"/>
        <w:jc w:val="both"/>
        <w:rPr>
          <w:lang w:val="es-AR" w:eastAsia="es-AR" w:bidi="es-AR"/>
        </w:rPr>
      </w:pPr>
      <w:r>
        <w:rPr>
          <w:lang w:val="es-AR" w:eastAsia="es-AR" w:bidi="es-AR"/>
        </w:rPr>
        <w:t xml:space="preserve">El recurrente se agravia en las manifestaciones de la a quo respecto a cuestiones que no han sido alegadas por la actora en su escrito de demanda, y que sin embargo meritó en su resolución cuando analizó la prueba. Al respecto he de  señalar que al momento de sentenciar, y para formar su convicción, los jueces tienen la posibilidad de analizar toda la prueba producida por las partes, y a su vez podrá analizar las causas que tramitan entre las mismas partes, las cuales fueron ofrecidas como prueba instrumental. </w:t>
      </w:r>
    </w:p>
    <w:p>
      <w:pPr>
        <w:pStyle w:val="[Normal]"/>
        <w:spacing w:line="360" w:lineRule="auto"/>
        <w:ind w:firstLine="1134"/>
        <w:jc w:val="both"/>
        <w:rPr>
          <w:lang w:val="es-AR" w:eastAsia="es-AR" w:bidi="es-AR"/>
        </w:rPr>
      </w:pPr>
      <w:r>
        <w:rPr>
          <w:lang w:val="es-AR" w:eastAsia="es-AR" w:bidi="es-AR"/>
        </w:rPr>
        <w:t xml:space="preserve">Sabido es que </w:t>
      </w:r>
      <w:r>
        <w:rPr>
          <w:i/>
          <w:lang w:val="es-AR" w:eastAsia="es-AR" w:bidi="es-AR"/>
        </w:rPr>
        <w:t xml:space="preserve">"El principio de adquisición procesal hace posible que cualquiera sea la procedencia de las probanzas que obran en el expediente, su valoración por los jueces de mérito es siempre conducente, cualquiera sea la parte perjudicada o favorecida por ellas" (SCBA LP C 102859 S 18/06/2014,  C 99982 S 04/03/2009, C 93093 S 15/10/2008, Ac 88211 S 29/08/2007, Ac 87968 S 16/02/2005 , Ac 84207 S 24/03/2004, entre otros, JUBA  B23577</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Dicho esto es que considero que no debe recibirse el cuestionamiento del demandado relativo a la valoración de la prueba en general y en particular lo referido a la formación profesional que tiene el demandado, en cuanto deja en evidencia su capacidad laborativa.</w:t>
      </w:r>
    </w:p>
    <w:p>
      <w:pPr>
        <w:pStyle w:val="[Normal]"/>
        <w:spacing w:line="360" w:lineRule="auto"/>
        <w:ind w:firstLine="1134"/>
        <w:jc w:val="both"/>
        <w:rPr>
          <w:lang w:val="es-AR" w:eastAsia="es-AR" w:bidi="es-AR"/>
        </w:rPr>
      </w:pPr>
      <w:r>
        <w:rPr>
          <w:lang w:val="es-AR" w:eastAsia="es-AR" w:bidi="es-AR"/>
        </w:rPr>
        <w:t xml:space="preserve">Sin lugar a dudas, la juzgadora mediante el análisis de todo el marco probatorio producido en autos, le ha servido para evaluar la cuestión de acuerdo a las reglas de la sana crítica (art. 384 del CPCC y su doctrina), lo que se vio plasmado en la sentencia que con buenos fundamentos -a mi criterio- ha dictado en autos.-</w:t>
      </w:r>
    </w:p>
    <w:p>
      <w:pPr>
        <w:pStyle w:val="[Normal]"/>
        <w:spacing w:line="360" w:lineRule="auto"/>
        <w:ind w:firstLine="1134"/>
        <w:jc w:val="both"/>
        <w:rPr>
          <w:lang w:val="es-AR" w:eastAsia="es-AR" w:bidi="es-AR"/>
        </w:rPr>
      </w:pPr>
      <w:r>
        <w:rPr>
          <w:lang w:val="es-AR" w:eastAsia="es-AR" w:bidi="es-AR"/>
        </w:rPr>
        <w:t xml:space="preserve">Desde aquí entonces y en la aplicación de dicha regla, con la prueba producida se infiere que la potencialidad económica del progenitor es mayor a la de la actora, y que la progenitora con sus ingresos también puede contribuir pero en menor medida al sustento de los menores.-</w:t>
      </w:r>
    </w:p>
    <w:p>
      <w:pPr>
        <w:pStyle w:val="[Normal]"/>
        <w:spacing w:line="360" w:lineRule="auto"/>
        <w:ind w:firstLine="1134"/>
        <w:jc w:val="both"/>
        <w:rPr>
          <w:lang w:val="es-AR" w:eastAsia="es-AR" w:bidi="es-AR"/>
        </w:rPr>
      </w:pPr>
      <w:r>
        <w:rPr>
          <w:lang w:val="es-AR" w:eastAsia="es-AR" w:bidi="es-AR"/>
        </w:rPr>
        <w:t xml:space="preserve">En cuanto al agravio sustentado en la determinación de la fijación de la cuota suplementaria establecida en el punto 6), entiendo que habiéndose diferido la determinación, tal situación no causa ningún agravio, pues sobre un agravio eventual no puede sustentarse el recurso.</w:t>
      </w:r>
    </w:p>
    <w:p>
      <w:pPr>
        <w:pStyle w:val="[Normal]"/>
        <w:spacing w:line="360" w:lineRule="auto"/>
        <w:ind w:firstLine="1134"/>
        <w:jc w:val="both"/>
        <w:rPr>
          <w:lang w:val="es-AR" w:eastAsia="es-AR" w:bidi="es-AR"/>
        </w:rPr>
      </w:pPr>
      <w:r>
        <w:rPr>
          <w:color w:val="000000"/>
          <w:lang w:val="es-AR" w:eastAsia="es-AR" w:bidi="es-AR"/>
        </w:rPr>
        <w:t xml:space="preserve">Tiene dicho el Superior Tribunal provincial que "Sobre un agravio hipotético o eventual no puede edificarse ningún recurso (arg.art.242 C.P.C.). ( Ac 41002 del 20-6-1989), habiendo resuelto esta Cámara, que no resulta admisible la apelación fundada en el gravamen eventual, ya que el perjuicio debe ser cierto y concreto respecto de quien recurre (confr.causa C- 4954 RSD 185/03).-</w:t>
      </w:r>
    </w:p>
    <w:p>
      <w:pPr>
        <w:pStyle w:val="[Normal]"/>
        <w:spacing w:line="360" w:lineRule="auto"/>
        <w:ind w:firstLine="1134"/>
        <w:jc w:val="both"/>
        <w:rPr>
          <w:lang w:val="es-AR" w:eastAsia="es-AR" w:bidi="es-AR"/>
        </w:rPr>
      </w:pPr>
      <w:r>
        <w:rPr>
          <w:lang w:val="es-AR" w:eastAsia="es-AR" w:bidi="es-AR"/>
        </w:rPr>
        <w:t xml:space="preserve">A mayor abundamiento,</w:t>
      </w:r>
      <w:r>
        <w:rPr>
          <w:i/>
          <w:lang w:val="es-AR" w:eastAsia="es-AR" w:bidi="es-AR"/>
        </w:rPr>
        <w:t xml:space="preserve"> "Los arts. 641 y 642 del Cód. Proc. con claridad suficiente prescriben la obligatoriedad del pago de los alimentos desde la fecha de interposición de la demanda, debiendo fijarse una cuota suplementaria, independiente de la principal, respecto de los que se devengaren durante la tramitación del juicio. Tal mecanismo es absolutamente ajeno a cualquier imputación de demora o negligencia que pudiera hacerse a las partes intervinientes y tiene su génesis en la propia ley.  En desinencia de lo cual, no puede admitirse la eximición solicitada por el apelante con basamento en la afirmación de que no le es imputable la demora en el proceso.  La obligación de pago de los alimentos atrasados prescripta por la norma no tiene por objeto sancionar a quien pueda atribuírsele la demora del juicio ni persigue la imputación de negligencia de las partes, sino que se ha establecido, reafirmando el criterio conteste de la doctrina y jurisprudencia, en el principio general que retrotrae los efectos de la condena al momento de la demanda, por aquello de que el tiempo que insume el proceso no debe enriquecer al obligado. (CC0100 SN 20144 S 17/08/2021, Sumario Juba B858676)"</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Y en atención a la naturaleza de la cuestión de fondo debatida en autos, el diferimiento de la fijación de la cuota suplementaria se encuentra ajustada a derecho, debiéndose confirmar el punto del fallo atacado por el demandado.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del demandado, ordenando la reducción de la cuota alimentaria y fijándola en la suma equivalente al 30 % de los haberes que percibe como jubilado de los Bomberos (deducidos únicamente los descuentos de ley), siendo extensivo tal porcentaje al SAC y a cualquier otro tipo de beneficio social no remunerativo que pudiera percibir el demandado, con más el pago de la escuela de los menores y de la obra social.  Confirmando en todo lo demás el fallo atacado.-</w:t>
      </w:r>
    </w:p>
    <w:p>
      <w:pPr>
        <w:pStyle w:val="[Normal]"/>
        <w:spacing w:line="360" w:lineRule="auto"/>
        <w:ind w:firstLine="1134"/>
        <w:jc w:val="both"/>
        <w:rPr>
          <w:lang w:val="es-AR" w:eastAsia="es-AR" w:bidi="es-AR"/>
        </w:rPr>
      </w:pPr>
      <w:r>
        <w:rPr>
          <w:lang w:val="es-AR" w:eastAsia="es-AR" w:bidi="es-AR"/>
        </w:rPr>
        <w:t xml:space="preserve">Costas de Alzada al alimentante (arts. 68 y 69 C.P.C.).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la de primera instancia (art. 39 ley 14967).-</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el recurso de apelación del demandado, ordenando la reducción de la cuota alimentaria y fijándola en la suma equivalente al 30 % de los haberes que percibe como jubilado de los Bomberos (deducidos únicamente los descuentos de ley), siendo extensivo tal porcentaje al SAC y a cualquier otro tipo de beneficio social no remunerativo que pudiera percibir el demandado, con más el pago de la escuela de los menores y de la obra social.  Confirmando en todo lo demás el fallo atacado.-</w:t>
      </w:r>
    </w:p>
    <w:p>
      <w:pPr>
        <w:pStyle w:val="[Normal]"/>
        <w:spacing w:line="360" w:lineRule="auto"/>
        <w:ind w:firstLine="1134"/>
        <w:jc w:val="both"/>
        <w:rPr>
          <w:lang w:val="es-AR" w:eastAsia="es-AR" w:bidi="es-AR"/>
        </w:rPr>
      </w:pPr>
      <w:r>
        <w:rPr>
          <w:lang w:val="es-AR" w:eastAsia="es-AR" w:bidi="es-AR"/>
        </w:rPr>
        <w:t xml:space="preserve">Costas de Alzada al alimentante (arts. 68 y 69 C.P.C.).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la de primera instancia (art. 39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