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5807-25</w:t>
      </w:r>
      <w:r>
        <w:rPr>
          <w:lang w:val="es-AR" w:eastAsia="es-AR" w:bidi="es-AR"/>
        </w:rPr>
        <w:t xml:space="preserve"> caratulada </w:t>
      </w:r>
      <w:r>
        <w:rPr>
          <w:b/>
          <w:lang w:val="es-AR" w:eastAsia="es-AR" w:bidi="es-AR"/>
        </w:rPr>
        <w:t xml:space="preserve">"</w:t>
      </w:r>
      <w:r>
        <w:rPr>
          <w:b/>
          <w:color w:val="000000"/>
          <w:lang w:val="es-AR" w:eastAsia="es-AR" w:bidi="es-AR"/>
        </w:rPr>
        <w:t xml:space="preserve">MUNICIPALIDAD DE PERGAMINO  C/ ORTIZ BASUALDO FERMIN MARIA JOSE S/ APREMIO</w:t>
      </w:r>
      <w:r>
        <w:rPr>
          <w:b/>
          <w:lang w:val="es-AR" w:eastAsia="es-AR" w:bidi="es-AR"/>
        </w:rPr>
        <w:t xml:space="preserve">"</w:t>
      </w:r>
      <w:r>
        <w:rPr>
          <w:lang w:val="es-AR" w:eastAsia="es-AR" w:bidi="es-AR"/>
        </w:rPr>
        <w:t xml:space="preserve">, Expte. 79.948</w:t>
      </w:r>
      <w:r>
        <w:rPr>
          <w:color w:val="000000"/>
          <w:lang w:val="es-AR" w:eastAsia="es-AR" w:bidi="es-AR"/>
        </w:rPr>
        <w:t xml:space="preserve"> </w:t>
      </w:r>
      <w:r>
        <w:rPr>
          <w:lang w:val="es-AR" w:eastAsia="es-AR" w:bidi="es-AR"/>
        </w:rPr>
        <w:t xml:space="preserve">del Juzgado en lo Civil y Comercial N° 1, se practicó el sorteo de ley que determinó que la votación debía efectuarse en el siguiente orden: Roberto Manuel Degleue y Graciela Scaraffía,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Manuel Degleue dijo:</w:t>
      </w:r>
    </w:p>
    <w:p>
      <w:pPr>
        <w:pStyle w:val="[Normal]"/>
        <w:spacing w:line="360" w:lineRule="auto"/>
        <w:ind w:firstLine="1134"/>
        <w:jc w:val="both"/>
        <w:rPr>
          <w:lang w:val="es-AR" w:eastAsia="es-AR" w:bidi="es-AR"/>
        </w:rPr>
      </w:pPr>
      <w:r>
        <w:rPr>
          <w:lang w:val="es-AR" w:eastAsia="es-AR" w:bidi="es-AR"/>
        </w:rPr>
        <w:t xml:space="preserve">El Sr. Juez de primera instancia se inhibió de seguir interviniendo en el expediente y remitió las actuaciones al Juzgado Nacional en lo Civil Nº 22 del Poder Judicial de la Nación, donde tramita la sucesión testamentaria del demandado (“Ortiz Basualdo, Fermín María José s/ sucesión testamentaria”, expte. 51160/21).</w:t>
      </w:r>
    </w:p>
    <w:p>
      <w:pPr>
        <w:pStyle w:val="[Normal]"/>
        <w:spacing w:line="360" w:lineRule="auto"/>
        <w:ind w:firstLine="1134"/>
        <w:jc w:val="both"/>
        <w:rPr>
          <w:lang w:val="es-AR" w:eastAsia="es-AR" w:bidi="es-AR"/>
        </w:rPr>
      </w:pPr>
      <w:r>
        <w:rPr>
          <w:lang w:val="es-AR" w:eastAsia="es-AR" w:bidi="es-AR"/>
        </w:rPr>
        <w:t xml:space="preserve">La decisión se fundamentó en el fuero de atracción del juicio sucesorio previsto en el art. 2336 del CCyC, destacando su carácter de orden público y su finalidad de concentrar ante un mismo magistrado todas las causas vinculadas al patrimonio del causante.</w:t>
      </w:r>
    </w:p>
    <w:p>
      <w:pPr>
        <w:pStyle w:val="[Normal]"/>
        <w:spacing w:line="360" w:lineRule="auto"/>
        <w:ind w:firstLine="1134"/>
        <w:jc w:val="both"/>
        <w:rPr>
          <w:lang w:val="es-AR" w:eastAsia="es-AR" w:bidi="es-AR"/>
        </w:rPr>
      </w:pPr>
      <w:r>
        <w:rPr>
          <w:lang w:val="es-AR" w:eastAsia="es-AR" w:bidi="es-AR"/>
        </w:rPr>
        <w:t xml:space="preserve">De ello se agravia el accionante, quien considera que la decisión resulta errónea por cuanto el artículo 5 inciso 7 del CPCC establece expresamente que las acciones relativas al cobro de impuestos, tasas o multas constituyen una excepción al principio del fuero de atracción, autorizando al municipio a optar por el lugar de radicación de la demanda, ya sea el del inmueble, el del pago o el del domicilio del contribuyente.</w:t>
      </w:r>
    </w:p>
    <w:p>
      <w:pPr>
        <w:pStyle w:val="[Normal]"/>
        <w:spacing w:line="360" w:lineRule="auto"/>
        <w:ind w:firstLine="1134"/>
        <w:jc w:val="both"/>
        <w:rPr>
          <w:lang w:val="es-AR" w:eastAsia="es-AR" w:bidi="es-AR"/>
        </w:rPr>
      </w:pPr>
      <w:r>
        <w:rPr>
          <w:lang w:val="es-AR" w:eastAsia="es-AR" w:bidi="es-AR"/>
        </w:rPr>
        <w:t xml:space="preserve">Alega que la deuda reclamada corresponde a tasas municipales y por su naturaleza de obligación propter rem se encuentra directamente vinculada al inmueble sito en Pergamino, lo que justifica la competencia del juez local, sin que la existencia de un proceso sucesorio en otra jurisdicción altere tal regla.</w:t>
      </w:r>
    </w:p>
    <w:p>
      <w:pPr>
        <w:pStyle w:val="[Normal]"/>
        <w:spacing w:line="360" w:lineRule="auto"/>
        <w:ind w:firstLine="1134"/>
        <w:jc w:val="both"/>
        <w:rPr>
          <w:lang w:val="es-AR" w:eastAsia="es-AR" w:bidi="es-AR"/>
        </w:rPr>
      </w:pPr>
      <w:r>
        <w:rPr>
          <w:lang w:val="es-AR" w:eastAsia="es-AR" w:bidi="es-AR"/>
        </w:rPr>
        <w:t xml:space="preserve">Asimismo, objeta la aplicación al caso de la jurisprudencia citada en el auto apelado (CSJN, “Superintendencia de Riesgos del Trabajo c/ García”) por tratarse allí de obligaciones de carácter federal y no de tributos locales, citando en apoyo el dictamen del Procurador General en Fallos 316:2138, que expresamente limita el alcance del fuero de atracción en materia de deudas tributarias locales.</w:t>
      </w:r>
    </w:p>
    <w:p>
      <w:pPr>
        <w:pStyle w:val="[Normal]"/>
        <w:spacing w:line="360" w:lineRule="auto"/>
        <w:ind w:firstLine="1134"/>
        <w:jc w:val="both"/>
        <w:rPr>
          <w:lang w:val="es-AR" w:eastAsia="es-AR" w:bidi="es-AR"/>
        </w:rPr>
      </w:pPr>
      <w:r>
        <w:rPr>
          <w:lang w:val="es-AR" w:eastAsia="es-AR" w:bidi="es-AR"/>
        </w:rPr>
        <w:t xml:space="preserve">Finalmente, aduce que la remisión del expediente a la Justicia Nacional importaría una dilación innecesaria en el trámite y afectaría la eficacia del procedimiento de cobro fiscal previsto por la ley 13.406 y el decreto-ley 6769/58, en desmedro de la recaudación municipal y del interés público comprometido.</w:t>
      </w:r>
    </w:p>
    <w:p>
      <w:pPr>
        <w:pStyle w:val="[Normal]"/>
        <w:spacing w:line="360" w:lineRule="auto"/>
        <w:ind w:firstLine="1134"/>
        <w:jc w:val="both"/>
        <w:rPr>
          <w:lang w:val="es-AR" w:eastAsia="es-AR" w:bidi="es-AR"/>
        </w:rPr>
      </w:pPr>
      <w:r>
        <w:rPr>
          <w:lang w:val="es-AR" w:eastAsia="es-AR" w:bidi="es-AR"/>
        </w:rPr>
        <w:t xml:space="preserve">Solicita la revocación del pronunciamiento recurrido y que se disponga la radicación definitiva del expediente ante el mismo juzgado a fin de proseguir con el trámite de ejecución fiscal y las medidas cautelares solicitadas.</w:t>
      </w:r>
    </w:p>
    <w:p>
      <w:pPr>
        <w:pStyle w:val="[Normal]"/>
        <w:spacing w:line="360" w:lineRule="auto"/>
        <w:ind w:firstLine="1134"/>
        <w:jc w:val="both"/>
        <w:rPr>
          <w:lang w:val="es-AR" w:eastAsia="es-AR" w:bidi="es-AR"/>
        </w:rPr>
      </w:pPr>
      <w:r>
        <w:rPr>
          <w:lang w:val="es-AR" w:eastAsia="es-AR" w:bidi="es-AR"/>
        </w:rPr>
        <w:t xml:space="preserve">Entrando a resolver, es doctrina de la Suprema Corte de Justicia provincial que el propósito del fuero de atracción, en lo que respecta a los procesos universales, es la concentración ante un mismo magistrado que entiende en el principal, en principio, de todas las causas que involucren al patrimonio como universalidad. Ello en cuanto esas acciones posean virtualidad potencial de incidir sobre la meta de transmisión (conf. doctr. SCBA causas C. 120.000, "B., M. E.", resol. de 26-VIII-2015; C. 120.614, "R., G. R.", resol. de 19-10-2016 y C. 120.442, "Municipalidad de Exaltación de la Cruz", resol. de 21-12-2016). Además, en cuanto a la determinación objetiva del acervo, se ha sostenido que el fuero de atracción de los juicios sucesorios tiene efecto cuando el causante es demandado -lo que ocurre en el caso-. Doctrina que se mantiene vigente en virtud de lo dispuesto por el art. 2336 del nuevo CCyC (conf. SCBA causas C. 120.689, "Dignani" y C. 121.016, "Lira,", ambas resols. de 21-12-2016 y C. 120.442, C. 120.614, cits.).</w:t>
      </w:r>
    </w:p>
    <w:p>
      <w:pPr>
        <w:pStyle w:val="[Normal]"/>
        <w:spacing w:line="360" w:lineRule="auto"/>
        <w:ind w:firstLine="1134"/>
        <w:jc w:val="both"/>
        <w:rPr>
          <w:b/>
          <w:lang w:val="es-AR" w:eastAsia="es-AR" w:bidi="es-AR"/>
        </w:rPr>
      </w:pPr>
      <w:r>
        <w:rPr>
          <w:lang w:val="es-AR" w:eastAsia="es-AR" w:bidi="es-AR"/>
        </w:rPr>
        <w:t xml:space="preserve">Como bien lo señaló el magistrado de primera instancia con cita de la Corte Suprema de Justicia de la Nación, la sucesión atrae a la ejecución fiscal, aunque ésta incluya -como en los presentes- deudas posteriores al fallecimiento del causante (CSJN, Causa “Superintendencia de Riesgos del Trabajo c/ García, Raúl Carlos s/ Apremio, Res. 3-5-2016), En idéntico sentido se ha expedido nuestro Máximo Tribunal Provincial en supuestos similares al presente (doct. causas C. 120.442, "Municipalidad de Exaltación de la Cruz", resol. de 21-12-2016, C. 121.492, "Municipalidad de San Nicolás", resol. de 23-5-2017 y C. 122.706 "Municipalidad de San Nicolás", resol. de 26-9-2018).</w:t>
      </w:r>
    </w:p>
    <w:p>
      <w:pPr>
        <w:pStyle w:val="[Normal]"/>
        <w:spacing w:line="360" w:lineRule="auto"/>
        <w:ind w:firstLine="1134"/>
        <w:jc w:val="both"/>
        <w:rPr>
          <w:lang w:val="es-AR" w:eastAsia="es-AR" w:bidi="es-AR"/>
        </w:rPr>
      </w:pPr>
      <w:r>
        <w:rPr>
          <w:lang w:val="es-AR" w:eastAsia="es-AR" w:bidi="es-AR"/>
        </w:rPr>
        <w:t xml:space="preserve">En concordancia con lo expuesto, concluyo que el presente juicio de apremio debe tramitar ante el juez de la sucesión, por lo que propongo al Acuerdo rechazar el recurso de apelación deducido y confirmar el fallo apelado (arg. arts. 384, 385 y ccs. del CPCC; arts. 2336 y conds. del CCyC).</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Scaraffía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Manuel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 Rechazar el recurso de apelación deducido y en consecuencia confirmar el resolutorio de fecha 25-4-2025. </w:t>
      </w:r>
    </w:p>
    <w:p>
      <w:pPr>
        <w:pStyle w:val="[Normal]"/>
        <w:spacing w:line="360" w:lineRule="auto"/>
        <w:ind w:firstLine="1134"/>
        <w:jc w:val="both"/>
        <w:rPr>
          <w:lang w:val="es-AR" w:eastAsia="es-AR" w:bidi="es-AR"/>
        </w:rPr>
      </w:pPr>
      <w:r>
        <w:rPr>
          <w:lang w:val="es-AR" w:eastAsia="es-AR" w:bidi="es-AR"/>
        </w:rPr>
        <w:t xml:space="preserve">Sin costas de Alzada atento la ausencia de contradicción (art. 68/9 CPCC). </w:t>
      </w:r>
    </w:p>
    <w:p>
      <w:pPr>
        <w:pStyle w:val="[Normal]"/>
        <w:spacing w:line="360" w:lineRule="auto"/>
        <w:ind w:firstLine="1134"/>
        <w:jc w:val="both"/>
        <w:rPr>
          <w:b/>
          <w:lang w:val="es-AR" w:eastAsia="es-AR" w:bidi="es-AR"/>
        </w:rPr>
      </w:pPr>
      <w:r>
        <w:rPr>
          <w:b/>
          <w:lang w:val="es-AR" w:eastAsia="es-AR" w:bidi="es-AR"/>
        </w:rPr>
        <w:t xml:space="preserve">ASÍ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Scaraffía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u w:val="single"/>
          <w:lang w:val="es-AR" w:eastAsia="es-AR" w:bidi="es-AR"/>
        </w:rPr>
        <w:t xml:space="preserve">S E N T E N C I A</w:t>
      </w:r>
      <w:r>
        <w:rPr>
          <w:u w:val="single"/>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 Rechazar el recurso de apelación deducido y en consecuencia confirmar el resolutorio de fecha 25-4-2025. </w:t>
      </w:r>
    </w:p>
    <w:p>
      <w:pPr>
        <w:pStyle w:val="[Normal]"/>
        <w:spacing w:line="360" w:lineRule="auto"/>
        <w:ind w:firstLine="1134"/>
        <w:jc w:val="both"/>
        <w:rPr>
          <w:lang w:val="es-AR" w:eastAsia="es-AR" w:bidi="es-AR"/>
        </w:rPr>
      </w:pPr>
      <w:r>
        <w:rPr>
          <w:lang w:val="es-AR" w:eastAsia="es-AR" w:bidi="es-AR"/>
        </w:rPr>
        <w:t xml:space="preserve">Sin costas de Alzada atento la ausencia de contradicción (art. 68/9 CPCC). </w:t>
      </w:r>
    </w:p>
    <w:p>
      <w:pPr>
        <w:pStyle w:val="[Normal]"/>
        <w:spacing w:line="360" w:lineRule="auto"/>
        <w:ind w:firstLine="1134"/>
        <w:jc w:val="both"/>
        <w:rPr>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r>
        <w:rPr>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11/11/2025 10:26:34 -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11/11/2025 11:06:16 -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11/11/2025 11:36:45 - MARTINEZ Nicolas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‰8[")è&amp;hxpzŠ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245902090006728880</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11/11/2025 11:40:08 hs. bajo el número RS-160-2025 por PE\NMARTINEZ NICOLAS.</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