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5579-25</w:t>
      </w:r>
      <w:r>
        <w:rPr>
          <w:lang w:val="es-AR" w:eastAsia="es-AR" w:bidi="es-AR"/>
        </w:rPr>
        <w:t xml:space="preserve"> caratulada </w:t>
      </w:r>
      <w:r>
        <w:rPr>
          <w:b/>
          <w:lang w:val="es-AR" w:eastAsia="es-AR" w:bidi="es-AR"/>
        </w:rPr>
        <w:t xml:space="preserve">"</w:t>
      </w:r>
      <w:r>
        <w:rPr>
          <w:b/>
          <w:color w:val="000000"/>
          <w:lang w:val="es-AR" w:eastAsia="es-AR" w:bidi="es-AR"/>
        </w:rPr>
        <w:t xml:space="preserve">DE SAUTU FACUNDO EMANUEL C/ ROSTI PABLO DAVID S/ DIVISION DE CONDOMINIO</w:t>
      </w:r>
      <w:r>
        <w:rPr>
          <w:b/>
          <w:lang w:val="es-AR" w:eastAsia="es-AR" w:bidi="es-AR"/>
        </w:rPr>
        <w:t xml:space="preserve">"</w:t>
      </w:r>
      <w:r>
        <w:rPr>
          <w:lang w:val="es-AR" w:eastAsia="es-AR" w:bidi="es-AR"/>
        </w:rPr>
        <w:t xml:space="preserve">, Expte. </w:t>
      </w:r>
      <w:r>
        <w:rPr>
          <w:color w:val="000000"/>
          <w:lang w:val="es-AR" w:eastAsia="es-AR" w:bidi="es-AR"/>
        </w:rPr>
        <w:t xml:space="preserve">86.267</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juez de grado en fecha 5/8/25, tomando como base la tasación acompañada en autos -en el porcentaje de titularidad de la parte actora, que resulta ser el interés en juego-,  reguló los honorarios profesionales de los letrados intervinientes.</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demandada mediante el escrito electrónico de fecha 11/8/25, concedido en relación y con efecto suspensivo el 13/8/25, fundado en el momento de su interposición, y contestado en fecha 18/8/25.  </w:t>
      </w:r>
    </w:p>
    <w:p>
      <w:pPr>
        <w:pStyle w:val="[Normal]"/>
        <w:spacing w:line="360" w:lineRule="auto"/>
        <w:ind w:firstLine="1134"/>
        <w:jc w:val="both"/>
        <w:rPr>
          <w:lang w:val="es-AR" w:eastAsia="es-AR" w:bidi="es-AR"/>
        </w:rPr>
      </w:pPr>
      <w:r>
        <w:rPr>
          <w:lang w:val="es-AR" w:eastAsia="es-AR" w:bidi="es-AR"/>
        </w:rPr>
        <w:t xml:space="preserve">Elevados los autos a esta Alzada, con fecha 26/8/25 se llamó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El demandado cuestiona el capital base tenido en cuenta por el juez de grado para la fijación de los estipendios profesionales, esto es el valor de $45.000.000 atribuido por tasación al bien objeto de la división de condominio. </w:t>
      </w:r>
    </w:p>
    <w:p>
      <w:pPr>
        <w:pStyle w:val="[Normal]"/>
        <w:spacing w:line="360" w:lineRule="auto"/>
        <w:ind w:firstLine="1134"/>
        <w:jc w:val="both"/>
        <w:rPr>
          <w:lang w:val="es-AR" w:eastAsia="es-AR" w:bidi="es-AR"/>
        </w:rPr>
      </w:pPr>
      <w:r>
        <w:rPr>
          <w:lang w:val="es-AR" w:eastAsia="es-AR" w:bidi="es-AR"/>
        </w:rPr>
        <w:t xml:space="preserve">Sostiene que dicha suma resulta incorrecta, ya que de las explicaciones vertidas por el perito surge que la misma comprende tanto el chasis como la caja del vehículo, alegando que ésta última no debe integrar la base regulatoria por cuanto en la demanda el actor únicamente refirió la adquisición del camión marca FIAT IVECO, modelo 2010, dominio JGV337 en proporciones del 30% a su nombre y 70% al del Sr. Rosti, sin mencionar a la caja como parte del objeto litigioso. Añade que del informe de dominio acompañado surge que el bien registral se limita al chasis.</w:t>
      </w:r>
    </w:p>
    <w:p>
      <w:pPr>
        <w:pStyle w:val="[Normal]"/>
        <w:spacing w:line="360" w:lineRule="auto"/>
        <w:ind w:firstLine="1134"/>
        <w:jc w:val="both"/>
        <w:rPr>
          <w:lang w:val="es-AR" w:eastAsia="es-AR" w:bidi="es-AR"/>
        </w:rPr>
      </w:pPr>
      <w:r>
        <w:rPr>
          <w:lang w:val="es-AR" w:eastAsia="es-AR" w:bidi="es-AR"/>
        </w:rPr>
        <w:t xml:space="preserve">Concluye que la inclusión del valor de la caja implicaría apartarse del marco delineado por la pretensión, configurando una decisión extra petita con las consecuencias de nulidad que ello conlleva.</w:t>
      </w:r>
    </w:p>
    <w:p>
      <w:pPr>
        <w:pStyle w:val="[Normal]"/>
        <w:spacing w:line="360" w:lineRule="auto"/>
        <w:ind w:firstLine="1134"/>
        <w:jc w:val="both"/>
        <w:rPr>
          <w:lang w:val="es-AR" w:eastAsia="es-AR" w:bidi="es-AR"/>
        </w:rPr>
      </w:pPr>
      <w:r>
        <w:rPr>
          <w:lang w:val="es-AR" w:eastAsia="es-AR" w:bidi="es-AR"/>
        </w:rPr>
        <w:t xml:space="preserve">Solicita que se revoque la regulación efectuada y se disponga una nueva, tomando como base imponible el 30% del valor del camión sin la caja.</w:t>
      </w:r>
    </w:p>
    <w:p>
      <w:pPr>
        <w:pStyle w:val="[Normal]"/>
        <w:spacing w:line="360" w:lineRule="auto"/>
        <w:ind w:firstLine="1134"/>
        <w:jc w:val="both"/>
        <w:rPr>
          <w:lang w:val="es-AR" w:eastAsia="es-AR" w:bidi="es-AR"/>
        </w:rPr>
      </w:pPr>
      <w:r>
        <w:rPr>
          <w:lang w:val="es-AR" w:eastAsia="es-AR" w:bidi="es-AR"/>
        </w:rPr>
        <w:t xml:space="preserve">Del examen de las constancias de autos se advierte que en la demanda inicial el actor solicitó la división de condominio respecto de un camión marca FIAT IVECO, modelo 2010, dominio JGV337, denunciando su adquisición en un 30% a su nombre y 70% al del demandado, sin efectuar mención alguna a la caja del vehículo como parte integrante del objeto litigioso.</w:t>
      </w:r>
    </w:p>
    <w:p>
      <w:pPr>
        <w:pStyle w:val="[Normal]"/>
        <w:spacing w:line="360" w:lineRule="auto"/>
        <w:ind w:firstLine="1134"/>
        <w:jc w:val="both"/>
        <w:rPr>
          <w:lang w:val="es-AR" w:eastAsia="es-AR" w:bidi="es-AR"/>
        </w:rPr>
      </w:pPr>
      <w:r>
        <w:rPr>
          <w:lang w:val="es-AR" w:eastAsia="es-AR" w:bidi="es-AR"/>
        </w:rPr>
        <w:t xml:space="preserve">A su vez, del informe de dominio acompañado surge que el bien registral se limita al chasis con cabina, sin comprensión de otros elementos.</w:t>
      </w:r>
    </w:p>
    <w:p>
      <w:pPr>
        <w:pStyle w:val="[Normal]"/>
        <w:spacing w:line="360" w:lineRule="auto"/>
        <w:ind w:firstLine="1134"/>
        <w:jc w:val="both"/>
        <w:rPr>
          <w:lang w:val="es-AR" w:eastAsia="es-AR" w:bidi="es-AR"/>
        </w:rPr>
      </w:pPr>
      <w:r>
        <w:rPr>
          <w:lang w:val="es-AR" w:eastAsia="es-AR" w:bidi="es-AR"/>
        </w:rPr>
        <w:t xml:space="preserve">En tales condiciones, la valoración efectuada por el perito, que comprendió en una única cifra el valor total del conjunto -chasis y caja-, no discrimina el valor correspondiente al bien efectivamente en condominio, lo que impide tomar  la totalidad de dicha tasación como base regulatoria.</w:t>
      </w:r>
    </w:p>
    <w:p>
      <w:pPr>
        <w:pStyle w:val="[Normal]"/>
        <w:spacing w:line="360" w:lineRule="auto"/>
        <w:ind w:firstLine="1134"/>
        <w:jc w:val="both"/>
        <w:rPr>
          <w:lang w:val="es-AR" w:eastAsia="es-AR" w:bidi="es-AR"/>
        </w:rPr>
      </w:pPr>
      <w:r>
        <w:rPr>
          <w:lang w:val="es-AR" w:eastAsia="es-AR" w:bidi="es-AR"/>
        </w:rPr>
        <w:t xml:space="preserve">Conforme a lo dispuesto por el art. 16 de la ley 14.967, en concordancia con los arts. 34 inc. 4° y 163 inc. 6° del CPCCBA, la regulación de honorarios debe realizarse sobre el monto del asunto o del interés económico efectivamente comprometido en el pleito, el cual se determina por los límites objetivos de la pretensión deducida. En el caso, ese interés se circunscribe al 30 % del valor del camión identificado en la demanda, sin incluir el de la caja, que no formó parte del objeto del proceso y cuya consideración importaría una decisión extra petita.</w:t>
      </w:r>
    </w:p>
    <w:p>
      <w:pPr>
        <w:pStyle w:val="[Normal]"/>
        <w:spacing w:line="360" w:lineRule="auto"/>
        <w:ind w:firstLine="1134"/>
        <w:jc w:val="both"/>
        <w:rPr>
          <w:lang w:val="es-AR" w:eastAsia="es-AR" w:bidi="es-AR"/>
        </w:rPr>
      </w:pPr>
      <w:r>
        <w:rPr>
          <w:lang w:val="es-AR" w:eastAsia="es-AR" w:bidi="es-AR"/>
        </w:rPr>
        <w:t xml:space="preserve">En consecuencia, corresponde revocar la regulación practicada, y deberá el juez de grado ordenar al perito tasador que aclare la valuación, discriminando el valor correspondiente al chasis con cabina del atribuido a la caja, para recién luego practicar una nueva regulación conforme los parámetros legales.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b/>
          <w:lang w:val="es-AR" w:eastAsia="es-AR" w:bidi="es-AR"/>
        </w:rPr>
      </w:pPr>
      <w:r>
        <w:rPr>
          <w:lang w:val="es-AR" w:eastAsia="es-AR" w:bidi="es-AR"/>
        </w:rPr>
        <w:t xml:space="preserve">Hacer lugar al recurso de apelación deducido, y en su mérito revocar la regulación practicada. En consecuencia  el juez de grado ordenará  al perito tasador que aclare la valuación, debiendo discriminar  el valor correspondiente al chasis con cabina del atribuido a la caja. Fecho practicará una nueva regulación conforme los parámetros legales.</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b/>
          <w:u w:val="single"/>
          <w:lang w:val="es-AR" w:eastAsia="es-AR" w:bidi="es-AR"/>
        </w:rPr>
      </w:pPr>
      <w:r>
        <w:rPr>
          <w:lang w:val="es-AR" w:eastAsia="es-AR" w:bidi="es-AR"/>
        </w:rPr>
        <w:t xml:space="preserve">Hacer lugar al recurso de apelación deducido, y en su mérito revocar la regulación practicada. En consecuencia el juez de grado ordenará  al perito tasador que aclare la valuación, debiendo discriminar  el valor correspondiente al chasis con cabina del atribuido a la caja. Fecho practicará una nueva regulación conforme los parámetros legales.</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20230047074@NOTIFICACIONES.SCBA.GOV.AR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27321568438@NOTIFICACIONES.SCBA.GOV.AR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20046825781@NOTIFICACIONES.SCBA.GOV.AR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10:25:04 -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11:04:12 -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11:15:41 -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‰8L")è&amp;cSGqŠ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244402090006675139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11/11/2025 11:15:52 hs. bajo el número RS-158-2025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