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5314-24</w:t>
      </w:r>
      <w:r>
        <w:rPr>
          <w:lang w:val="es-AR" w:eastAsia="es-AR" w:bidi="es-AR"/>
        </w:rPr>
        <w:t xml:space="preserve"> caratulada </w:t>
      </w:r>
      <w:r>
        <w:rPr>
          <w:b/>
          <w:lang w:val="es-AR" w:eastAsia="es-AR" w:bidi="es-AR"/>
        </w:rPr>
        <w:t xml:space="preserve">"</w:t>
      </w:r>
      <w:r>
        <w:rPr>
          <w:b/>
          <w:color w:val="000000"/>
          <w:lang w:val="es-AR" w:eastAsia="es-AR" w:bidi="es-AR"/>
        </w:rPr>
        <w:t xml:space="preserve">LABBATE LEONARDO ARIEL C/ GRONDONA YANINA PATRICIA S/ BENEFICIO DE LITIGAR SIN GASTOS</w:t>
      </w:r>
      <w:r>
        <w:rPr>
          <w:b/>
          <w:lang w:val="es-AR" w:eastAsia="es-AR" w:bidi="es-AR"/>
        </w:rPr>
        <w:t xml:space="preserve">"</w:t>
      </w:r>
      <w:r>
        <w:rPr>
          <w:lang w:val="es-AR" w:eastAsia="es-AR" w:bidi="es-AR"/>
        </w:rPr>
        <w:t xml:space="preserve">, Expte.N° 37501 del Juzgado de Familia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w:t>
      </w:r>
      <w:r>
        <w:rPr>
          <w:b/>
          <w:lang w:val="es-AR" w:eastAsia="es-AR" w:bidi="es-AR"/>
        </w:rPr>
        <w:t xml:space="preserve"> </w:t>
      </w:r>
      <w:r>
        <w:rPr>
          <w:lang w:val="es-AR" w:eastAsia="es-AR" w:bidi="es-AR"/>
        </w:rPr>
        <w:t xml:space="preserve">providencia</w:t>
      </w:r>
      <w:r>
        <w:rPr>
          <w:b/>
          <w:lang w:val="es-AR" w:eastAsia="es-AR" w:bidi="es-AR"/>
        </w:rPr>
        <w:t xml:space="preserve"> </w:t>
      </w:r>
      <w:r>
        <w:rPr>
          <w:lang w:val="es-AR" w:eastAsia="es-AR" w:bidi="es-AR"/>
        </w:rPr>
        <w:t xml:space="preserve">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en la providencia de fecha 1-7-2025 dispuso estar a lo dispuesto a la</w:t>
      </w:r>
      <w:r>
        <w:rPr>
          <w:b/>
          <w:lang w:val="es-AR" w:eastAsia="es-AR" w:bidi="es-AR"/>
        </w:rPr>
        <w:t xml:space="preserve"> </w:t>
      </w:r>
      <w:r>
        <w:rPr>
          <w:lang w:val="es-AR" w:eastAsia="es-AR" w:bidi="es-AR"/>
        </w:rPr>
        <w:t xml:space="preserve">sentencia de fecha 25-4-2024, ante el pedido de regulación de honorarios solicitada por el Dr. Ricardo Labaronnie en fecha 18-6-2025.</w:t>
      </w:r>
    </w:p>
    <w:p>
      <w:pPr>
        <w:pStyle w:val="[Normal]"/>
        <w:spacing w:line="360" w:lineRule="auto"/>
        <w:ind w:firstLine="1134"/>
        <w:jc w:val="both"/>
        <w:rPr>
          <w:lang w:val="es-AR" w:eastAsia="es-AR" w:bidi="es-AR"/>
        </w:rPr>
      </w:pPr>
      <w:r>
        <w:rPr>
          <w:lang w:val="es-AR" w:eastAsia="es-AR" w:bidi="es-AR"/>
        </w:rPr>
        <w:t xml:space="preserve">Disconforme con lo ordenado, el Dr. Labaronnie por propio derecho interpone revocatoria con apelación en subsidio en fecha 2-7-2025, siendo desestimada la reposición, se concede la apelación en relación el 15-7-2025 contra la regulación de honorarios efectuada. </w:t>
      </w:r>
    </w:p>
    <w:p>
      <w:pPr>
        <w:pStyle w:val="[Normal]"/>
        <w:spacing w:line="360" w:lineRule="auto"/>
        <w:ind w:firstLine="1134"/>
        <w:jc w:val="both"/>
        <w:rPr>
          <w:lang w:val="es-AR" w:eastAsia="es-AR" w:bidi="es-AR"/>
        </w:rPr>
      </w:pPr>
      <w:r>
        <w:rPr>
          <w:lang w:val="es-AR" w:eastAsia="es-AR" w:bidi="es-AR"/>
        </w:rPr>
        <w:t xml:space="preserve">Refiere el apelante que el auto recurrido alude a la sentencia de fecha 25-4-2024, la que fuera apelada y que ésta Cámara de Apelación revocó totalmente rechazando el pedido de beneficio de litigar sin gastos promovido por el accionante, con costas por resultar vencido.</w:t>
      </w:r>
    </w:p>
    <w:p>
      <w:pPr>
        <w:pStyle w:val="[Normal]"/>
        <w:spacing w:line="360" w:lineRule="auto"/>
        <w:ind w:firstLine="1134"/>
        <w:jc w:val="both"/>
        <w:rPr>
          <w:lang w:val="es-AR" w:eastAsia="es-AR" w:bidi="es-AR"/>
        </w:rPr>
      </w:pPr>
      <w:r>
        <w:rPr>
          <w:lang w:val="es-AR" w:eastAsia="es-AR" w:bidi="es-AR"/>
        </w:rPr>
        <w:t xml:space="preserve">Señala que no puede subsistir la regulación practicada en virtud de que con la revocación de la sentencia efectuada por la Cámara  han variado sustancialmente las pautas para determinar los emolumentos requeridos.</w:t>
      </w:r>
    </w:p>
    <w:p>
      <w:pPr>
        <w:pStyle w:val="[Normal]"/>
        <w:spacing w:line="360" w:lineRule="auto"/>
        <w:ind w:firstLine="1134"/>
        <w:jc w:val="both"/>
        <w:rPr>
          <w:lang w:val="es-AR" w:eastAsia="es-AR" w:bidi="es-AR"/>
        </w:rPr>
      </w:pPr>
      <w:r>
        <w:rPr>
          <w:lang w:val="es-AR" w:eastAsia="es-AR" w:bidi="es-AR"/>
        </w:rPr>
        <w:t xml:space="preserve">Aduce que ha de considerarse el referido art.16 Ley 14.967, dado que contempla el monto del asunto, más en este caso en que el accionante pretendía obtener la franquicia del art.78 C.P.C.,con el fin de reclamar una compensación económica de U$S 60.000.-</w:t>
      </w:r>
    </w:p>
    <w:p>
      <w:pPr>
        <w:pStyle w:val="[Normal]"/>
        <w:spacing w:line="360" w:lineRule="auto"/>
        <w:ind w:firstLine="1134"/>
        <w:jc w:val="both"/>
        <w:rPr>
          <w:lang w:val="es-AR" w:eastAsia="es-AR" w:bidi="es-AR"/>
        </w:rPr>
      </w:pPr>
      <w:r>
        <w:rPr>
          <w:lang w:val="es-AR" w:eastAsia="es-AR" w:bidi="es-AR"/>
        </w:rPr>
        <w:t xml:space="preserve">Peticiona se deje sin efecto el auto recurrido, ordenándose traslado al obligado al pago de la base regulatoria, acorde oportunamente fuera solicitado.</w:t>
      </w:r>
    </w:p>
    <w:p>
      <w:pPr>
        <w:pStyle w:val="[Normal]"/>
        <w:spacing w:line="360" w:lineRule="auto"/>
        <w:ind w:firstLine="1134"/>
        <w:jc w:val="both"/>
        <w:rPr>
          <w:lang w:val="es-AR" w:eastAsia="es-AR" w:bidi="es-AR"/>
        </w:rPr>
      </w:pPr>
      <w:r>
        <w:rPr>
          <w:lang w:val="es-AR" w:eastAsia="es-AR" w:bidi="es-AR"/>
        </w:rPr>
        <w:t xml:space="preserve">En fecha 8-9-2025, no habiendo contestado el traslado ordenado, se le dio por perdido el derecho dejado de usar por la contraparte, ingresando los autos a éste Organismo en misma fecha, se dicta el llamamiento de autos para sentencia, que firme a la fecha deja la causa en condiciones de  ser tratada. </w:t>
      </w:r>
    </w:p>
    <w:p>
      <w:pPr>
        <w:pStyle w:val="[Normal]"/>
        <w:spacing w:line="360" w:lineRule="auto"/>
        <w:ind w:firstLine="1134"/>
        <w:jc w:val="both"/>
        <w:rPr>
          <w:lang w:val="es-AR" w:eastAsia="es-AR" w:bidi="es-AR"/>
        </w:rPr>
      </w:pPr>
      <w:r>
        <w:rPr>
          <w:lang w:val="es-AR" w:eastAsia="es-AR" w:bidi="es-AR"/>
        </w:rPr>
        <w:t xml:space="preserve">Llegado el momento de resolver cabe destacar que efectivamente y tal como señala el recurrente,</w:t>
      </w:r>
      <w:r>
        <w:rPr>
          <w:b/>
          <w:lang w:val="es-AR" w:eastAsia="es-AR" w:bidi="es-AR"/>
        </w:rPr>
        <w:t xml:space="preserve"> </w:t>
      </w:r>
      <w:r>
        <w:rPr>
          <w:lang w:val="es-AR" w:eastAsia="es-AR" w:bidi="es-AR"/>
        </w:rPr>
        <w:t xml:space="preserve">en la sentencia dictada por esta Alzada se dispuso revocar  la de</w:t>
      </w:r>
      <w:r>
        <w:rPr>
          <w:b/>
          <w:lang w:val="es-AR" w:eastAsia="es-AR" w:bidi="es-AR"/>
        </w:rPr>
        <w:t xml:space="preserve"> </w:t>
      </w:r>
      <w:r>
        <w:rPr>
          <w:lang w:val="es-AR" w:eastAsia="es-AR" w:bidi="es-AR"/>
        </w:rPr>
        <w:t xml:space="preserve"> primera instancia.-</w:t>
      </w:r>
    </w:p>
    <w:p>
      <w:pPr>
        <w:pStyle w:val="[Normal]"/>
        <w:spacing w:line="360" w:lineRule="auto"/>
        <w:ind w:firstLine="1134"/>
        <w:jc w:val="both"/>
        <w:rPr>
          <w:lang w:val="es-AR" w:eastAsia="es-AR" w:bidi="es-AR"/>
        </w:rPr>
      </w:pPr>
      <w:r>
        <w:rPr>
          <w:lang w:val="es-AR" w:eastAsia="es-AR" w:bidi="es-AR"/>
        </w:rPr>
        <w:t xml:space="preserve">Como consecuencia de ello debe entenderse que dicha revocación comprende también la regulación de honorarios que se había dispuesto junto a la misma, pues constituye un todo inescindible de la sentencia</w:t>
      </w:r>
      <w:r>
        <w:rPr>
          <w:b/>
          <w:lang w:val="es-AR" w:eastAsia="es-AR" w:bidi="es-AR"/>
        </w:rPr>
        <w:t xml:space="preserve">,</w:t>
      </w:r>
      <w:r>
        <w:rPr>
          <w:lang w:val="es-AR" w:eastAsia="es-AR" w:bidi="es-AR"/>
        </w:rPr>
        <w:t xml:space="preserve"> siendo esta la interpretación correcta, en tanto que y dada esta situación de que la</w:t>
      </w:r>
      <w:r>
        <w:rPr>
          <w:b/>
          <w:lang w:val="es-AR" w:eastAsia="es-AR" w:bidi="es-AR"/>
        </w:rPr>
        <w:t xml:space="preserve"> </w:t>
      </w:r>
      <w:r>
        <w:rPr>
          <w:lang w:val="es-AR" w:eastAsia="es-AR" w:bidi="es-AR"/>
        </w:rPr>
        <w:t xml:space="preserve">resolución  de primera instancia resulta revocada en su totalidad, la regulación de honorarios efectuada en aquella oportunidad debe quedar sin efecto.</w:t>
      </w:r>
    </w:p>
    <w:p>
      <w:pPr>
        <w:pStyle w:val="[Normal]"/>
        <w:spacing w:line="360" w:lineRule="auto"/>
        <w:ind w:firstLine="1134"/>
        <w:jc w:val="both"/>
        <w:rPr>
          <w:lang w:val="es-AR" w:eastAsia="es-AR" w:bidi="es-AR"/>
        </w:rPr>
      </w:pPr>
      <w:r>
        <w:rPr>
          <w:lang w:val="es-AR" w:eastAsia="es-AR" w:bidi="es-AR"/>
        </w:rPr>
        <w:t xml:space="preserve">Ello es así, pues la revocación de la decisión que le sirvió de sustento priva de base jurídica a la regulación practicada, debiendo en consecuencia efectuarse una nueva conforme al resultado de este nuevo  pronunciamiento (arts. 31, 54 y concs. de la Ley 14.967).</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otros términos, es dable remarcar que la regulación de honorarios practicada en la instancia de grado quedó jurídicamente comprometida a partir del momento en que esta Cámara revocó en su totalidad la sentencia que le daba fundamento. </w:t>
      </w:r>
    </w:p>
    <w:p>
      <w:pPr>
        <w:pStyle w:val="[Normal]"/>
        <w:spacing w:line="360" w:lineRule="auto"/>
        <w:ind w:firstLine="1134"/>
        <w:jc w:val="both"/>
        <w:rPr>
          <w:lang w:val="es-AR" w:eastAsia="es-AR" w:bidi="es-AR"/>
        </w:rPr>
      </w:pPr>
      <w:r>
        <w:rPr>
          <w:lang w:val="es-AR" w:eastAsia="es-AR" w:bidi="es-AR"/>
        </w:rPr>
        <w:t xml:space="preserve">Tal como establece el principio general de la relación entre obligaciones principales y accesorias (cf. art 856 y 857 del CCyC), el acto accesorio pierde eficacia cuando el acto principal es dejado sin efecto. En este sentido, la regulación de honorarios dictada en función de una sentencia que ha sido revocada integralmente carece de sustento y debe considerarse tácitamente decaída.</w:t>
      </w:r>
    </w:p>
    <w:p>
      <w:pPr>
        <w:pStyle w:val="[Normal]"/>
        <w:spacing w:line="360" w:lineRule="auto"/>
        <w:ind w:firstLine="1134"/>
        <w:jc w:val="both"/>
        <w:rPr>
          <w:lang w:val="es-AR" w:eastAsia="es-AR" w:bidi="es-AR"/>
        </w:rPr>
      </w:pPr>
      <w:r>
        <w:rPr>
          <w:lang w:val="es-AR" w:eastAsia="es-AR" w:bidi="es-AR"/>
        </w:rPr>
        <w:t xml:space="preserve">Por su parte, la Ley 14.967 exige que los honorarios se regulen atendiendo a la importancia, calidad, eficacia y resultado del trabajo profesional (art. 16). Si el resultado del proceso ha sido modificado -aquí, con el rechazo del beneficio-, la valoración arancelaria debe ajustarse a ese cuadro actualizado. </w:t>
      </w:r>
    </w:p>
    <w:p>
      <w:pPr>
        <w:pStyle w:val="[Normal]"/>
        <w:spacing w:line="360" w:lineRule="auto"/>
        <w:ind w:firstLine="1134"/>
        <w:jc w:val="both"/>
        <w:rPr>
          <w:lang w:val="es-AR" w:eastAsia="es-AR" w:bidi="es-AR"/>
        </w:rPr>
      </w:pPr>
      <w:r>
        <w:rPr>
          <w:lang w:val="es-AR" w:eastAsia="es-AR" w:bidi="es-AR"/>
        </w:rPr>
        <w:t xml:space="preserve">Asimismo, la base regulatoria debe definirse con arreglo al interés comprometido, descartando toda referencia que presuponga la vigencia de un beneficio ya denegado. Cualquier parámetro ligado al otorgamiento del beneficio de litigar sin gastos resulta inadecuado. </w:t>
      </w:r>
    </w:p>
    <w:p>
      <w:pPr>
        <w:pStyle w:val="[Normal]"/>
        <w:spacing w:line="360" w:lineRule="auto"/>
        <w:ind w:firstLine="1134"/>
        <w:jc w:val="both"/>
        <w:rPr>
          <w:lang w:val="es-AR" w:eastAsia="es-AR" w:bidi="es-AR"/>
        </w:rPr>
      </w:pPr>
      <w:r>
        <w:rPr>
          <w:lang w:val="es-AR" w:eastAsia="es-AR" w:bidi="es-AR"/>
        </w:rPr>
        <w:t xml:space="preserve">Finalmente, es preciso subrayar que permitir la subsistencia de una regulación de honorarios derivada de una sentencia revocada implicaría mantener efectos jurídicos sobre una decisión inexistente en el sistema normativo vigente, contrariando los principios de legalidad y congruencia procesal previstos en los arts. 34 inc. 4 y 5 del Código Procesal Civil y Comercial.</w:t>
      </w:r>
    </w:p>
    <w:p>
      <w:pPr>
        <w:pStyle w:val="[Normal]"/>
        <w:spacing w:line="360" w:lineRule="auto"/>
        <w:ind w:firstLine="1134"/>
        <w:jc w:val="both"/>
        <w:rPr>
          <w:lang w:val="es-AR" w:eastAsia="es-AR" w:bidi="es-AR"/>
        </w:rPr>
      </w:pPr>
      <w:r>
        <w:rPr>
          <w:lang w:val="es-AR" w:eastAsia="es-AR" w:bidi="es-AR"/>
        </w:rPr>
        <w:t xml:space="preserve">En virtud de ello, y a los efectos de garantizar el debido proceso (art. 18 CN) y la participación de quien resulte obligado al pago, la nueva regulación debe tramitar con la bilateralización correspondiente, otorgando traslado para que se expidan sobre la base regulatoria propuesta y los criterios aplicables. Esta redeterminación, practicada en la instancia de origen, permitirá un cómputo proporcional y coherente con la efectiva extensión y eficacia de la actuación profesional desarrollada en el incidente, conforme el desenlace fijado por la Cámara.</w:t>
      </w:r>
    </w:p>
    <w:p>
      <w:pPr>
        <w:pStyle w:val="[Normal]"/>
        <w:spacing w:line="360" w:lineRule="auto"/>
        <w:ind w:firstLine="1134"/>
        <w:jc w:val="both"/>
        <w:rPr>
          <w:lang w:val="es-AR" w:eastAsia="es-AR" w:bidi="es-AR"/>
        </w:rPr>
      </w:pPr>
      <w:r>
        <w:rPr>
          <w:lang w:val="es-AR" w:eastAsia="es-AR" w:bidi="es-AR"/>
        </w:rPr>
        <w:t xml:space="preserve">Por lo que corresponde que en la instancia anterior y luego de determinada la base regulatoria, con la bilateralización correspondiente, se proceda a la regulación de honorarios solicitada por el letrado recurrente.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el recurso de apelación y en su mérito disponer que en la instancia anterior y luego de determinada la base regulatoria, con la bilateralización correspondiente, se proceda a la regulación de honorarios solicitada por el letrado recurrente.</w:t>
      </w:r>
    </w:p>
    <w:p>
      <w:pPr>
        <w:pStyle w:val="[Normal]"/>
        <w:spacing w:line="360" w:lineRule="auto"/>
        <w:ind w:firstLine="1134"/>
        <w:jc w:val="both"/>
        <w:rPr>
          <w:lang w:val="es-AR" w:eastAsia="es-AR" w:bidi="es-AR"/>
        </w:rPr>
      </w:pPr>
      <w:r>
        <w:rPr>
          <w:lang w:val="es-AR" w:eastAsia="es-AR" w:bidi="es-AR"/>
        </w:rPr>
        <w:t xml:space="preserve">Sin costas en esta instancia por no haber contradictorio (Art. 68 del C.P.C. y 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el recurso de apelación y en su mérito disponer que n la instancia anterior y luego de determinada la base regulatoria, con la bilateralización correspondiente, se proceda a la regulación de honorarios solicitada por el letrado recurrente.</w:t>
      </w:r>
    </w:p>
    <w:p>
      <w:pPr>
        <w:pStyle w:val="[Normal]"/>
        <w:spacing w:line="360" w:lineRule="auto"/>
        <w:ind w:firstLine="1134"/>
        <w:jc w:val="both"/>
        <w:rPr>
          <w:lang w:val="es-AR" w:eastAsia="es-AR" w:bidi="es-AR"/>
        </w:rPr>
      </w:pPr>
      <w:r>
        <w:rPr>
          <w:lang w:val="es-AR" w:eastAsia="es-AR" w:bidi="es-AR"/>
        </w:rPr>
        <w:t xml:space="preserve">Sin costas en esta instancia por no haber contradictorio (Art. 68 del C.P.C. y C.).-</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06/11/2025 10:12:43 -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06/11/2025 10:27:13 -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06/11/2025 12:48:07 -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‰7}")è&amp;gJP)Š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239302090006714248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06/11/2025 12:48:19 hs. bajo el número RS-153-2025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