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5845-25</w:t>
      </w:r>
      <w:r>
        <w:rPr>
          <w:lang w:val="es-AR" w:eastAsia="es-AR" w:bidi="es-AR"/>
        </w:rPr>
        <w:t xml:space="preserve"> caratulada </w:t>
      </w:r>
      <w:r>
        <w:rPr>
          <w:b/>
          <w:lang w:val="es-AR" w:eastAsia="es-AR" w:bidi="es-AR"/>
        </w:rPr>
        <w:t xml:space="preserve">"</w:t>
      </w:r>
      <w:r>
        <w:rPr>
          <w:b/>
          <w:color w:val="000000"/>
          <w:lang w:val="es-AR" w:eastAsia="es-AR" w:bidi="es-AR"/>
        </w:rPr>
        <w:t xml:space="preserve">LUCASEVICH PERDIA ANGELICA PETRONA S/ SUCESION AB-INTESTATO</w:t>
      </w:r>
      <w:r>
        <w:rPr>
          <w:b/>
          <w:lang w:val="es-AR" w:eastAsia="es-AR" w:bidi="es-AR"/>
        </w:rPr>
        <w:t xml:space="preserve">"</w:t>
      </w:r>
      <w:r>
        <w:rPr>
          <w:lang w:val="es-AR" w:eastAsia="es-AR" w:bidi="es-AR"/>
        </w:rPr>
        <w:t xml:space="preserve">, Expte. N° 90.337</w:t>
      </w:r>
      <w:r>
        <w:rPr>
          <w:color w:val="000000"/>
          <w:lang w:val="es-AR" w:eastAsia="es-AR" w:bidi="es-AR"/>
        </w:rPr>
        <w:t xml:space="preserve"> </w:t>
      </w:r>
      <w:r>
        <w:rPr>
          <w:lang w:val="es-AR" w:eastAsia="es-AR" w:bidi="es-AR"/>
        </w:rPr>
        <w:t xml:space="preserve">del Juzgado Civil y Comercial n° 2</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w:t>
      </w:r>
      <w:r>
        <w:rPr>
          <w:color w:val="0000FF"/>
          <w:lang w:val="es-AR" w:eastAsia="es-AR" w:bidi="es-AR"/>
        </w:rPr>
        <w:t xml:space="preserve"> </w:t>
      </w:r>
      <w:r>
        <w:rPr>
          <w:lang w:val="es-AR" w:eastAsia="es-AR" w:bidi="es-AR"/>
        </w:rPr>
        <w:t xml:space="preserve">dijo:</w:t>
      </w:r>
    </w:p>
    <w:p>
      <w:pPr>
        <w:pStyle w:val="[Normal]"/>
        <w:spacing w:line="360" w:lineRule="auto"/>
        <w:ind w:firstLine="1134"/>
        <w:jc w:val="both"/>
        <w:rPr>
          <w:lang w:val="es-AR" w:eastAsia="es-AR" w:bidi="es-AR"/>
        </w:rPr>
      </w:pPr>
      <w:r>
        <w:rPr>
          <w:lang w:val="es-AR" w:eastAsia="es-AR" w:bidi="es-AR"/>
        </w:rPr>
        <w:t xml:space="preserve">El señor Juez de primera instancia falló en la presente declarándose incompetente para entender en el proceso sucesorio de la causante Silvana Beatriz Bulubasich, ello con fundamento en que la misma al momento del fallecimiento se domiciliaba en la Ciudad Autónoma de Bs. As. Por su parte, dispuso continúe el juicio sucesorio de Angélica Petrona Lucasevich Perdía, procediéndose a la recaratulación de la causa.</w:t>
      </w:r>
    </w:p>
    <w:p>
      <w:pPr>
        <w:pStyle w:val="[Normal]"/>
        <w:spacing w:line="360" w:lineRule="auto"/>
        <w:ind w:firstLine="1134"/>
        <w:jc w:val="both"/>
        <w:rPr>
          <w:lang w:val="es-AR" w:eastAsia="es-AR" w:bidi="es-AR"/>
        </w:rPr>
      </w:pPr>
      <w:r>
        <w:rPr>
          <w:lang w:val="es-AR" w:eastAsia="es-AR" w:bidi="es-AR"/>
        </w:rPr>
        <w:t xml:space="preserve">Disconforme con lo resuelto interpone la heredera Lara Hoffman en fecha 1-9-2025 recurso de apelación, concedido el 17-9-2025 y fundado en el acto de su interposición.</w:t>
      </w:r>
    </w:p>
    <w:p>
      <w:pPr>
        <w:pStyle w:val="[Normal]"/>
        <w:spacing w:line="360" w:lineRule="auto"/>
        <w:ind w:firstLine="1134"/>
        <w:jc w:val="both"/>
        <w:rPr>
          <w:lang w:val="es-AR" w:eastAsia="es-AR" w:bidi="es-AR"/>
        </w:rPr>
      </w:pPr>
      <w:r>
        <w:rPr>
          <w:lang w:val="es-AR" w:eastAsia="es-AR" w:bidi="es-AR"/>
        </w:rPr>
        <w:t xml:space="preserve">Arribada la causa a esta Alzada, se dictó el llamamiento de autos de fecha 23-9-2025, que habiendo adquirido firmeza, deja la causa en condiciones de ser fallada.</w:t>
      </w:r>
    </w:p>
    <w:p>
      <w:pPr>
        <w:pStyle w:val="[Normal]"/>
        <w:spacing w:line="360" w:lineRule="auto"/>
        <w:ind w:firstLine="1134"/>
        <w:jc w:val="both"/>
        <w:rPr>
          <w:lang w:val="es-AR" w:eastAsia="es-AR" w:bidi="es-AR"/>
        </w:rPr>
      </w:pPr>
      <w:r>
        <w:rPr>
          <w:lang w:val="es-AR" w:eastAsia="es-AR" w:bidi="es-AR"/>
        </w:rPr>
        <w:t xml:space="preserve">La recurrente sostiene que la resolución impugnada incurre en un error de valoración fáctica y jurídica, al no haber ponderado debidamente su voluntad expresada en el escrito inicial, ni las circunstancias que acreditarían que el centro de vida de la causante se encontraba en la ciudad de Pergamino, donde convivía con su madre, Angélica Petrona Lucasevich Perdía, y donde transcurrieron sus últimos años de vida. Aduce que ello puede probarse mediante testigos, el poder otorgado a su abogada patrocinante con domicilio en Pergamino, así como con certificados de vacunación donde figura dicha dirección.</w:t>
      </w:r>
    </w:p>
    <w:p>
      <w:pPr>
        <w:pStyle w:val="[Normal]"/>
        <w:spacing w:line="360" w:lineRule="auto"/>
        <w:ind w:firstLine="1134"/>
        <w:jc w:val="both"/>
        <w:rPr>
          <w:lang w:val="es-AR" w:eastAsia="es-AR" w:bidi="es-AR"/>
        </w:rPr>
      </w:pPr>
      <w:r>
        <w:rPr>
          <w:lang w:val="es-AR" w:eastAsia="es-AR" w:bidi="es-AR"/>
        </w:rPr>
        <w:t xml:space="preserve">Argumenta que, aún cuando en el certificado de defunción conste un domicilio en la Ciudad Autónoma de Buenos Aires, ello no impide controvertir la verdad material del domicilio real, conforme jurisprudencia de la Suprema Corte de Justicia de la Provincia de Buenos Aires y de esta Cámara (Expte. N° 4096-20, “Ludueña, Alberto Domingo s/ sucesión ab-intestato”), que reconocen al certificado de defunción valor probatorio limitado al hecho de la muerte, pero no a otros datos consignados en él.</w:t>
      </w:r>
    </w:p>
    <w:p>
      <w:pPr>
        <w:pStyle w:val="[Normal]"/>
        <w:spacing w:line="360" w:lineRule="auto"/>
        <w:ind w:firstLine="1134"/>
        <w:jc w:val="both"/>
        <w:rPr>
          <w:lang w:val="es-AR" w:eastAsia="es-AR" w:bidi="es-AR"/>
        </w:rPr>
      </w:pPr>
      <w:r>
        <w:rPr>
          <w:lang w:val="es-AR" w:eastAsia="es-AR" w:bidi="es-AR"/>
        </w:rPr>
        <w:t xml:space="preserve">Subsidiariamente, y para el caso de no admitirse la competencia por el domicilio real de la causante, postula la prórroga de jurisdicción en razón de conexidad, economía procesal y utilidad del servicio de justicia, citando doctrina y jurisprudencia de la Suprema Corte bonaerense y de la Cámara II de Apelación en lo Civil y Comercial de La Plata. En tales precedentes, se reconoce la procedencia de la prórroga de competencia en procesos sucesorios, aun entre distintas provincias, siempre que exista acuerdo de los herederos, que sean mayores y capaces, y que el desplazamiento jurisdiccional resulte funcional a la tramitación del proceso y no vulnere derechos de acreedores.</w:t>
      </w:r>
    </w:p>
    <w:p>
      <w:pPr>
        <w:pStyle w:val="[Normal]"/>
        <w:spacing w:line="360" w:lineRule="auto"/>
        <w:ind w:firstLine="1134"/>
        <w:jc w:val="both"/>
        <w:rPr>
          <w:lang w:val="es-AR" w:eastAsia="es-AR" w:bidi="es-AR"/>
        </w:rPr>
      </w:pPr>
      <w:r>
        <w:rPr>
          <w:lang w:val="es-AR" w:eastAsia="es-AR" w:bidi="es-AR"/>
        </w:rPr>
        <w:t xml:space="preserve">Asimismo la apelante destaca la identidad de herederos y de acervo hereditario entre la sucesión de su madre, Silvana Beatriz Bulubasich, y la de su abuela, Angélica Petrona Lucasevich Perdía, cuya sucesión tramita en el mismo Departamento Judicial, lo que justificaría su acumulación por razones de conexidad y economía procesal, evitando duplicidad de trámites, dilaciones y eventuales perjuicios patrimoniales.</w:t>
      </w:r>
    </w:p>
    <w:p>
      <w:pPr>
        <w:pStyle w:val="[Normal]"/>
        <w:spacing w:line="360" w:lineRule="auto"/>
        <w:ind w:firstLine="1134"/>
        <w:jc w:val="both"/>
        <w:rPr>
          <w:lang w:val="es-AR" w:eastAsia="es-AR" w:bidi="es-AR"/>
        </w:rPr>
      </w:pPr>
      <w:r>
        <w:rPr>
          <w:lang w:val="es-AR" w:eastAsia="es-AR" w:bidi="es-AR"/>
        </w:rPr>
        <w:t xml:space="preserve">Explica que, de seguirse el criterio del a quo, se vería obligada a iniciar una sucesión en CABA y luego continuar en Pergamino para la de su abuela, generando demoras y obstaculizando la disposición de bienes comunes a ambos procesos, varios de los cuales se encuentran radicados en esta ciudad.</w:t>
      </w:r>
    </w:p>
    <w:p>
      <w:pPr>
        <w:pStyle w:val="[Normal]"/>
        <w:spacing w:line="360" w:lineRule="auto"/>
        <w:ind w:firstLine="1134"/>
        <w:jc w:val="both"/>
        <w:rPr>
          <w:lang w:val="es-AR" w:eastAsia="es-AR" w:bidi="es-AR"/>
        </w:rPr>
      </w:pPr>
      <w:r>
        <w:rPr>
          <w:lang w:val="es-AR" w:eastAsia="es-AR" w:bidi="es-AR"/>
        </w:rPr>
        <w:t xml:space="preserve">Ofrece prueba documental, instrumental y testimonial tendiente a acreditar el domicilio real de la causante y la existencia de vínculos sucesorios conexos en esta jurisdicción.</w:t>
      </w:r>
    </w:p>
    <w:p>
      <w:pPr>
        <w:pStyle w:val="[Normal]"/>
        <w:spacing w:line="360" w:lineRule="auto"/>
        <w:ind w:firstLine="1134"/>
        <w:jc w:val="both"/>
        <w:rPr>
          <w:lang w:val="es-AR" w:eastAsia="es-AR" w:bidi="es-AR"/>
        </w:rPr>
      </w:pPr>
      <w:r>
        <w:rPr>
          <w:lang w:val="es-AR" w:eastAsia="es-AR" w:bidi="es-AR"/>
        </w:rPr>
        <w:t xml:space="preserve">En definitiva, la recurrente solicita se revoque la resolución recurrida, declarando la competencia del Juzgado Civil y Comercial de Pergamino para entender en la sucesión de Silvana Beatriz Bulubasich, en atención a los principios de economía procesal, celeridad, unidad de herencia y acceso efectivo a la justicia.</w:t>
      </w:r>
    </w:p>
    <w:p>
      <w:pPr>
        <w:pStyle w:val="Normal"/>
        <w:widowControl w:val="off"/>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s>
        <w:spacing w:line="360" w:lineRule="auto"/>
        <w:ind w:firstLine="1134"/>
        <w:jc w:val="both"/>
        <w:rPr>
          <w:rFonts w:ascii="Arial" w:hAnsi="Arial" w:eastAsia="Arial" w:cs="Arial"/>
          <w:lang w:val="es-AR" w:eastAsia="es-AR" w:bidi="es-AR"/>
        </w:rPr>
      </w:pPr>
      <w:r>
        <w:rPr>
          <w:rFonts w:ascii="Arial" w:hAnsi="Arial" w:eastAsia="Arial" w:cs="Arial"/>
          <w:lang w:val="es-AR" w:eastAsia="es-AR" w:bidi="es-AR"/>
        </w:rPr>
        <w:t xml:space="preserve">Entrando a resolver, anticipo que asiste razón a la apelante.</w:t>
      </w:r>
    </w:p>
    <w:p>
      <w:pPr>
        <w:pStyle w:val="Normal"/>
        <w:widowControl w:val="off"/>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s>
        <w:spacing w:line="360" w:lineRule="auto"/>
        <w:ind w:firstLine="1134"/>
        <w:jc w:val="both"/>
        <w:rPr>
          <w:rFonts w:ascii="Arial" w:hAnsi="Arial" w:eastAsia="Arial" w:cs="Arial"/>
          <w:lang w:val="es-AR" w:eastAsia="es-AR" w:bidi="es-AR"/>
        </w:rPr>
      </w:pPr>
      <w:r>
        <w:rPr>
          <w:rFonts w:ascii="Arial" w:hAnsi="Arial" w:eastAsia="Arial" w:cs="Arial"/>
          <w:lang w:val="es-AR" w:eastAsia="es-AR" w:bidi="es-AR"/>
        </w:rPr>
        <w:t xml:space="preserve">Es que sin perjuicio de que del tenor del certificado de defunción surge que el domicilio del causante se halla en la ciudad Autónoma de Buenos Aires, tal declaración no impide controvertir la verdad material de este atributo de la personalidad. </w:t>
      </w:r>
    </w:p>
    <w:p>
      <w:pPr>
        <w:pStyle w:val="Normal"/>
        <w:widowControl w:val="off"/>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s>
        <w:spacing w:line="360" w:lineRule="auto"/>
        <w:ind w:firstLine="1134"/>
        <w:jc w:val="both"/>
        <w:rPr>
          <w:rFonts w:ascii="Arial" w:hAnsi="Arial" w:eastAsia="Arial" w:cs="Arial"/>
          <w:lang w:val="es-AR" w:eastAsia="es-AR" w:bidi="es-AR"/>
        </w:rPr>
      </w:pPr>
      <w:r>
        <w:rPr>
          <w:rFonts w:ascii="Arial" w:hAnsi="Arial" w:eastAsia="Arial" w:cs="Arial"/>
          <w:lang w:val="es-AR" w:eastAsia="es-AR" w:bidi="es-AR"/>
        </w:rPr>
        <w:t xml:space="preserve">Aunque el certificado de referencia constituye un instrumento público, cabe aclarar que el alcance de la fe pública emanada de su contenido se extiende exclusivamente respecto al hecho del deceso de la persona aludida, la fecha y el lugar donde se produjo, en tanto se trata de circunstancias que se supone fueron personalmente constatadas por el oficial público interviniente. Los demás hechos asentados (entre ellos, el domicilio del causante) constituyen informaciones complementarias introducidas por el fedatario con base en fuentes de conocimiento distintas de su constatación personal y directa (art. 296 del CCyC). </w:t>
      </w:r>
    </w:p>
    <w:p>
      <w:pPr>
        <w:pStyle w:val="Normal"/>
        <w:widowControl w:val="off"/>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s>
        <w:spacing w:line="360" w:lineRule="auto"/>
        <w:ind w:firstLine="1134"/>
        <w:jc w:val="both"/>
        <w:rPr>
          <w:rFonts w:ascii="Arial" w:hAnsi="Arial" w:eastAsia="Arial" w:cs="Arial"/>
          <w:lang w:val="es-AR" w:eastAsia="es-AR" w:bidi="es-AR"/>
        </w:rPr>
      </w:pPr>
      <w:r>
        <w:rPr>
          <w:rFonts w:ascii="Arial" w:hAnsi="Arial" w:eastAsia="Arial" w:cs="Arial"/>
          <w:lang w:val="es-AR" w:eastAsia="es-AR" w:bidi="es-AR"/>
        </w:rPr>
        <w:t xml:space="preserve">Como consecuencia lógica de lo expuesto, las partes están facultadas  para controvertir la verdad de dichas circunstancias sobre las cuales el instrumento público no hace plena fe sino que opera con carácter meramente presuncional, sin necesidad de promover una redargüción de falsedad del documento. A tal efecto, quien niega la veracidad de una declaración asentada por el oficial público que no fue pasada ante su presencia, tiene la carga de demostrar que el hecho consignado no es cierto, pudiendo valerse en principio de una amplia libertad probatoria.</w:t>
      </w:r>
    </w:p>
    <w:p>
      <w:pPr>
        <w:pStyle w:val="Normal"/>
        <w:widowControl w:val="off"/>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s>
        <w:spacing w:line="360" w:lineRule="auto"/>
        <w:ind w:firstLine="1134"/>
        <w:jc w:val="both"/>
        <w:rPr>
          <w:rFonts w:ascii="Arial" w:hAnsi="Arial" w:eastAsia="Arial" w:cs="Arial"/>
          <w:lang w:val="es-AR" w:eastAsia="es-AR" w:bidi="es-AR"/>
        </w:rPr>
      </w:pPr>
      <w:r>
        <w:rPr>
          <w:rFonts w:ascii="Arial" w:hAnsi="Arial" w:eastAsia="Arial" w:cs="Arial"/>
          <w:lang w:val="es-AR" w:eastAsia="es-AR" w:bidi="es-AR"/>
        </w:rPr>
        <w:t xml:space="preserve">Este criterio ha sido adoptado por la Casación Provincial al reconocer la proyección material limitada de la fe pública emanada del certificado de defunción. Al respecto, la Corte bonaerense afirmó que: </w:t>
      </w:r>
      <w:r>
        <w:rPr>
          <w:rFonts w:ascii="Arial" w:hAnsi="Arial" w:eastAsia="Arial" w:cs="Arial"/>
          <w:i/>
          <w:lang w:val="es-AR" w:eastAsia="es-AR" w:bidi="es-AR"/>
        </w:rPr>
        <w:t xml:space="preserve">"El certificado de defunción prueba, con carácter de instrumento público, la muerte de una persona (arts. 104, 79 y 80 del Código Civil) pero de ninguna manera tiene idéntica aptitud respecto al domicilio del fallecido, su estado civil o demás datos consignados en el mismo que excedan el hecho de la muerte" </w:t>
      </w:r>
      <w:r>
        <w:rPr>
          <w:rFonts w:ascii="Arial" w:hAnsi="Arial" w:eastAsia="Arial" w:cs="Arial"/>
          <w:lang w:val="es-AR" w:eastAsia="es-AR" w:bidi="es-AR"/>
        </w:rPr>
        <w:t xml:space="preserve">(SCBA LP B 64698 S 27/06/2012 Juez KOGAN (SD), Carátula: Fetter, María Luisa c/Caja de Previsión Social para Profesionales de las Ciencias Farmacéuticas s/Demanda contencioso administrativa, Magistrados Votantes: Kogan-Hitters-Negri-Soria-Genoud-de Lázzari). En tal sentido, se ha pronunciado éste Tribunal en la causa 4096-20, resolución de fecha 11/3/21 en la que se reputó que la mentada declaración resultaba prematura.</w:t>
      </w:r>
    </w:p>
    <w:p>
      <w:pPr>
        <w:pStyle w:val="Normal"/>
        <w:widowControl w:val="off"/>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s>
        <w:spacing w:line="360" w:lineRule="auto"/>
        <w:ind w:firstLine="1134"/>
        <w:jc w:val="both"/>
        <w:rPr>
          <w:rFonts w:ascii="Arial" w:hAnsi="Arial" w:eastAsia="Arial" w:cs="Arial"/>
          <w:lang w:val="es-AR" w:eastAsia="es-AR" w:bidi="es-AR"/>
        </w:rPr>
      </w:pPr>
      <w:r>
        <w:rPr>
          <w:rFonts w:ascii="Arial" w:hAnsi="Arial" w:eastAsia="Arial" w:cs="Arial"/>
          <w:lang w:val="es-AR" w:eastAsia="es-AR" w:bidi="es-AR"/>
        </w:rPr>
        <w:t xml:space="preserve">En un precedente altamente esclarecedor, la Cámara de Apelaciones Civil y Comercial de Mar del Plata también relativizó el valor probatorio de las informaciones complementarias asentadas en un instrumento público y admitió con amplitud la posibilidad de producir prueba en contrario. En tal sentido, el Tribunal sostuvo que: </w:t>
      </w:r>
      <w:r>
        <w:rPr>
          <w:rFonts w:ascii="Arial" w:hAnsi="Arial" w:eastAsia="Arial" w:cs="Arial"/>
          <w:i/>
          <w:lang w:val="es-AR" w:eastAsia="es-AR" w:bidi="es-AR"/>
        </w:rPr>
        <w:t xml:space="preserve">"La circunstancia de que -como suele ocurrir- en la partida de defunción conste el domicilio del difunto, no implica que deba tenerse por definitivamente probado que se trataba de su último domicilio. La partida de defunción tiene por finalidad probar el deceso y el lugar en que ocurrió, y no el domicilio que tenía el causante Por ello, la constancia que se asiente de este último dato constituye una presunción que admite prueba en contrario, sin necesidad de impugnarlo. Cuando sea necesario demostrar que el último domicilio del causante correspondía a un lugar distinto al consignado en la partida de defunción, bastará recurrir a una sumaria información, debiendo el interesado cargar con la prueba correspondiente y pudiendo valerse de todo género de pruebas. Esto es así porque, en su carácter de instrumento público (art. 296, Código Civil y Comercial), la partida de defunción hace plena fe -hasta ser argüido de falso- sólo con respecto al acontecimiento de la muerte y al lugar en que se produjo. En efecto, el objeto esencial de dicho instrumento radica en la acreditación de la muerte de la que el oficial público toma conocimiento mediante elementos que así lo certifican, en tanto que la información complementaria -como lo atinente al último domicilio- llega a su conocimiento mediante simple manifestación de quien efectúa la diligencia"</w:t>
      </w:r>
      <w:r>
        <w:rPr>
          <w:rFonts w:ascii="Arial" w:hAnsi="Arial" w:eastAsia="Arial" w:cs="Arial"/>
          <w:lang w:val="es-AR" w:eastAsia="es-AR" w:bidi="es-AR"/>
        </w:rPr>
        <w:t xml:space="preserve">. (Cámara de Apelaciones en lo Civil y Comercial de Mar del Plata, "Velazquez Mariana Patricia S/ Sucesión Ab Intestato", 16/05/2017).</w:t>
      </w:r>
    </w:p>
    <w:p>
      <w:pPr>
        <w:pStyle w:val="Normal"/>
        <w:widowControl w:val="off"/>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s>
        <w:spacing w:line="360" w:lineRule="auto"/>
        <w:ind w:firstLine="1134"/>
        <w:jc w:val="both"/>
        <w:rPr>
          <w:rFonts w:ascii="Arial" w:hAnsi="Arial" w:eastAsia="Arial" w:cs="Arial"/>
          <w:b/>
          <w:lang w:val="es-AR" w:eastAsia="es-AR" w:bidi="es-AR"/>
        </w:rPr>
      </w:pPr>
      <w:r>
        <w:rPr>
          <w:rFonts w:ascii="Arial" w:hAnsi="Arial" w:eastAsia="Arial" w:cs="Arial"/>
          <w:lang w:val="es-AR" w:eastAsia="es-AR" w:bidi="es-AR"/>
        </w:rPr>
        <w:t xml:space="preserve">Sin perjuicio de lo anterior, y aun en hipótesis de que no se acreditara con la prueba a producirse que el último domicilio real de la causante se hallaba en Pergamino, no puede soslayarse que la apelante ha invocado la existencia de una relación de conexidad sustancial entre esta sucesión y la correspondiente al proceso de la Sra. Angélica Petrona Lucasevich Perdía, que tramita en la misma jurisdicción, en virtud de la identidad de herederos y la comunidad de bienes integrantes del acervo hereditario.</w:t>
      </w:r>
    </w:p>
    <w:p>
      <w:pPr>
        <w:pStyle w:val="[Normal]"/>
        <w:spacing w:line="360" w:lineRule="auto"/>
        <w:ind w:firstLine="1134"/>
        <w:jc w:val="both"/>
        <w:rPr>
          <w:b/>
          <w:lang w:val="es-AR" w:eastAsia="es-AR" w:bidi="es-AR"/>
        </w:rPr>
      </w:pPr>
      <w:r>
        <w:rPr>
          <w:lang w:val="es-AR" w:eastAsia="es-AR" w:bidi="es-AR"/>
        </w:rPr>
        <w:t xml:space="preserve">Al respecto, se ha dicho que "</w:t>
      </w:r>
      <w:r>
        <w:rPr>
          <w:i/>
          <w:lang w:val="es-AR" w:eastAsia="es-AR" w:bidi="es-AR"/>
        </w:rPr>
        <w:t xml:space="preserve">... Si bien la prórroga de jurisdicción respecto de los juicios sucesorios es procedente cuando dicha prerrogativa es ejercida dentro de los límites del territorio de la Provincia, es lo cierto que el principio que sienta el art. 3284 del Código Civil sufre una limitación que obedece a motivos de orden práctico y de apreciación circunstancial, cual es la de las sucesiones vinculadas…" ( CC0201 LP 107923 RSI-25-9 I 19/02/2009, en similar sentido CC0103 LP 251143 RSI-252-8 I 21/10/2008)</w:t>
      </w:r>
      <w:r>
        <w:rPr>
          <w:lang w:val="es-AR" w:eastAsia="es-AR" w:bidi="es-AR"/>
        </w:rPr>
        <w:t xml:space="preserve">. </w:t>
      </w:r>
    </w:p>
    <w:p>
      <w:pPr>
        <w:pStyle w:val="Normal"/>
        <w:widowControl w:val="off"/>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s>
        <w:spacing w:line="360" w:lineRule="auto"/>
        <w:ind w:firstLine="1134"/>
        <w:jc w:val="both"/>
        <w:rPr>
          <w:rFonts w:ascii="Arial" w:hAnsi="Arial" w:eastAsia="Arial" w:cs="Arial"/>
          <w:lang w:val="es-AR" w:eastAsia="es-AR" w:bidi="es-AR"/>
        </w:rPr>
      </w:pPr>
      <w:r>
        <w:rPr>
          <w:rFonts w:ascii="Arial" w:hAnsi="Arial" w:eastAsia="Arial" w:cs="Arial"/>
          <w:lang w:val="es-AR" w:eastAsia="es-AR" w:bidi="es-AR"/>
        </w:rPr>
        <w:t xml:space="preserve">Tal criterio, orientado por los principios de economía procesal, unidad de la herencia y acceso efectivo a la justicia, refuerza la conveniencia de que ambos procesos se sustancien ante el mismo órgano judicial, evitando duplicidad de actuaciones y eventuales decisiones contradictorias.</w:t>
      </w:r>
    </w:p>
    <w:p>
      <w:pPr>
        <w:pStyle w:val="[Normal]"/>
        <w:spacing w:line="360" w:lineRule="auto"/>
        <w:ind w:firstLine="1134"/>
        <w:jc w:val="both"/>
        <w:rPr>
          <w:lang w:val="es-AR" w:eastAsia="es-AR" w:bidi="es-AR"/>
        </w:rPr>
      </w:pPr>
      <w:r>
        <w:rPr>
          <w:lang w:val="es-AR" w:eastAsia="es-AR" w:bidi="es-AR"/>
        </w:rPr>
        <w:t xml:space="preserve">A la luz de las consideraciones precedentes, se advierte que el Juez de grado procedió en forma prematura a efectuar la declaración de incompetencia que ha sido objeto de apelación. Es que toda vez que la apelante tenía derecho a ofrecer prueba -tal como lo hizo al apelar- tendiente a controvertir y esclarecer el verdadero domicilio de la causante, la resolución que declaró la incompetencia sin brindarle previamente la posibilidad al recurrente de acreditar en sentido contrario a lo informado en las constancias documentales terminó por violentar su derecho de defensa y, en particular, su derecho a producir prueba como manifestación específica de dicha garantía (art. 18 y 75 inc. 22 de la CN).</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w:t>
      </w:r>
      <w:r>
        <w:rPr>
          <w:color w:val="0000FF"/>
          <w:lang w:val="es-AR" w:eastAsia="es-AR" w:bidi="es-AR"/>
        </w:rPr>
        <w:t xml:space="preserve"> </w:t>
      </w:r>
      <w:r>
        <w:rPr>
          <w:lang w:val="es-AR" w:eastAsia="es-AR" w:bidi="es-AR"/>
        </w:rPr>
        <w:t xml:space="preserve">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w:t>
      </w:r>
    </w:p>
    <w:p>
      <w:pPr>
        <w:pStyle w:val="[Normal]"/>
        <w:spacing w:line="36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al recurso de apelación deducido, y en su mérito revocar el decisorio apelado, declarándose en principio competente para intervenir en autos al Juzgado en lo Civil y Comercial N° 2 de este Dpto. Judicial.</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w:t>
      </w:r>
      <w:r>
        <w:rPr>
          <w:color w:val="0000FF"/>
          <w:lang w:val="es-AR" w:eastAsia="es-AR" w:bidi="es-AR"/>
        </w:rPr>
        <w:t xml:space="preserve"> </w:t>
      </w:r>
      <w:r>
        <w:rPr>
          <w:lang w:val="es-AR" w:eastAsia="es-AR" w:bidi="es-AR"/>
        </w:rPr>
        <w:t xml:space="preserve">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Hacer lugar al recurso de apelación deducido, y en su mérito revocar el decisorio apelado, declarándose en principio competente para intervenir en autos al Juzgado en lo Civil y Comercial N° 2 de este Dpto. Judicial.</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18/11/2025 10:19:43 -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18/11/2025 11:01:34 -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18/11/2025 12:15:02 -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‰7^")è&amp;fTr1Š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236202090006705282</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18/11/2025 12:15:22 hs. bajo el número RS-167-2025 por PE\LBIANCO LUIS MARIA.</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Normal">
    <w:name w:val="Normal"/>
    <w:next w:val="Normal"/>
    <w:qFormat/>
    <w:pPr>
      <w:widowControl w:val="on"/>
      <w:shd w:val="clear" w:color="auto" w:fill="auto"/>
      <w:spacing w:before="0" w:after="0" w:line="240" w:lineRule="auto"/>
      <w:ind w:left="0" w:right="0" w:firstLine="0"/>
      <w:jc w:val="left"/>
    </w:pPr>
    <w:rPr>
      <w:rFonts w:ascii="Times New Roman" w:hAnsi="Times New Roman" w:eastAsia="Times New Roman" w:cs="Times New Roman"/>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