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color w:val="000000"/>
          <w:lang w:val="es-AR" w:eastAsia="es-AR" w:bidi="es-AR"/>
        </w:rPr>
        <w:t xml:space="preserve">5670-25</w:t>
      </w:r>
      <w:r>
        <w:rPr>
          <w:lang w:val="es-AR" w:eastAsia="es-AR" w:bidi="es-AR"/>
        </w:rPr>
        <w:t xml:space="preserve"> caratulada </w:t>
      </w:r>
      <w:r>
        <w:rPr>
          <w:b/>
          <w:lang w:val="es-AR" w:eastAsia="es-AR" w:bidi="es-AR"/>
        </w:rPr>
        <w:t xml:space="preserve">"</w:t>
      </w:r>
      <w:r>
        <w:rPr>
          <w:b/>
          <w:color w:val="000000"/>
          <w:lang w:val="es-AR" w:eastAsia="es-AR" w:bidi="es-AR"/>
        </w:rPr>
        <w:t xml:space="preserve">POMAR CARMEN ELENA C/ DAABUL JORGE GUSTAVO Y OTRO/A S/ DAÑOS Y PERJ.AUTOM. C/LES. O MUERTE (EXC.ESTADO)</w:t>
      </w:r>
      <w:r>
        <w:rPr>
          <w:b/>
          <w:lang w:val="es-AR" w:eastAsia="es-AR" w:bidi="es-AR"/>
        </w:rPr>
        <w:t xml:space="preserve">"</w:t>
      </w:r>
      <w:r>
        <w:rPr>
          <w:lang w:val="es-AR" w:eastAsia="es-AR" w:bidi="es-AR"/>
        </w:rPr>
        <w:t xml:space="preserve">, Expte. </w:t>
      </w:r>
      <w:r>
        <w:rPr>
          <w:color w:val="000000"/>
          <w:lang w:val="es-AR" w:eastAsia="es-AR" w:bidi="es-AR"/>
        </w:rPr>
        <w:t xml:space="preserve">89.094</w:t>
      </w:r>
      <w:r>
        <w:rPr>
          <w:color w:val="000000"/>
          <w:lang w:val="es-AR" w:eastAsia="es-AR" w:bidi="es-AR"/>
        </w:rPr>
        <w:t xml:space="preserve"> </w:t>
      </w:r>
      <w:r>
        <w:rPr>
          <w:lang w:val="es-AR" w:eastAsia="es-AR" w:bidi="es-AR"/>
        </w:rPr>
        <w:t xml:space="preserve">del Juzgado en lo Civil y Comercial n° 2, se practicó el sorteo de ley que determinó que la votación debía efectuarse en el siguiente orden: Graciela Scaraffia y Roberto Degleue,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la señora Jueza Graciela Scaraffia dijo:</w:t>
      </w:r>
    </w:p>
    <w:p>
      <w:pPr>
        <w:pStyle w:val="[Normal]"/>
        <w:spacing w:line="360" w:lineRule="auto"/>
        <w:ind w:firstLine="1134"/>
        <w:jc w:val="both"/>
        <w:rPr>
          <w:lang w:val="es-AR" w:eastAsia="es-AR" w:bidi="es-AR"/>
        </w:rPr>
      </w:pPr>
      <w:r>
        <w:rPr>
          <w:lang w:val="es-AR" w:eastAsia="es-AR" w:bidi="es-AR"/>
        </w:rPr>
        <w:t xml:space="preserve">El Sr. Juez de la anterior instancia declaró la inconstitucionalidad sobrevenida de los arts. 7 y 10 de la ley 23.928, según ley 25.561 e hizo lugar a la demanda incoada por Carmen Elena Pomar y, en consecuencia, condenó a Jorge Gustavo Daabul y a Sancor Cooperativa de Seguros Limitada, a abonar la parte actora, la suma de TRES MILLONES NOVECIENTOS QUINCE MIL PESOS ($3.915.000), actualizables según lo dispuesto en el considerando VIII, con más sus respectivos intereses calculados en la forma establecida en el considerando VII, a partir de la fecha del hecho (21/05/2022) y hasta el momento de su efectivo pago. Aplicó las costas a la parte demandada y a la citada en garantía que resultan vencidas (art. 68 C.P.C.). Difirió la regulación de honorarios de los letrados intervinientes y del perito, hasta que medie firme la respectiva liquidación de intereses y gastos (art. 51 ley 14.967).-</w:t>
      </w:r>
    </w:p>
    <w:p>
      <w:pPr>
        <w:pStyle w:val="[Normal]"/>
        <w:spacing w:line="360" w:lineRule="auto"/>
        <w:ind w:firstLine="1134"/>
        <w:jc w:val="both"/>
        <w:rPr>
          <w:lang w:val="es-AR" w:eastAsia="es-AR" w:bidi="es-AR"/>
        </w:rPr>
      </w:pPr>
      <w:r>
        <w:rPr>
          <w:lang w:val="es-AR" w:eastAsia="es-AR" w:bidi="es-AR"/>
        </w:rPr>
        <w:t xml:space="preserve">Disconforme con lo resuelto, interpuso recurso de apelación la parte actora en fecha 4-8-2025 quien lo funda el 19-8-2025. Habiendo el apoderado de la citada en garantía contestado el traslado conferido en fecha 4-9-2025.-</w:t>
      </w:r>
    </w:p>
    <w:p>
      <w:pPr>
        <w:pStyle w:val="[Normal]"/>
        <w:spacing w:line="360" w:lineRule="auto"/>
        <w:ind w:firstLine="1134"/>
        <w:jc w:val="both"/>
        <w:rPr>
          <w:lang w:val="es-AR" w:eastAsia="es-AR" w:bidi="es-AR"/>
        </w:rPr>
      </w:pPr>
      <w:r>
        <w:rPr>
          <w:lang w:val="es-AR" w:eastAsia="es-AR" w:bidi="es-AR"/>
        </w:rPr>
        <w:t xml:space="preserve">En fecha 9-9-2025 luce llamamiento de autos para sentencia, providencia que firme a la fecha deja la causa en condiciones de ser fallada.-</w:t>
      </w:r>
    </w:p>
    <w:p>
      <w:pPr>
        <w:pStyle w:val="[Normal]"/>
        <w:spacing w:line="360" w:lineRule="auto"/>
        <w:ind w:firstLine="1134"/>
        <w:jc w:val="both"/>
        <w:rPr>
          <w:lang w:val="es-AR" w:eastAsia="es-AR" w:bidi="es-AR"/>
        </w:rPr>
      </w:pPr>
      <w:r>
        <w:rPr>
          <w:lang w:val="es-AR" w:eastAsia="es-AR" w:bidi="es-AR"/>
        </w:rPr>
        <w:t xml:space="preserve">Expone la recurrente como agravios su disconformidad con los montos concedidos por los rubros reclamados considerándolos  escasos.-</w:t>
      </w:r>
    </w:p>
    <w:p>
      <w:pPr>
        <w:pStyle w:val="[Normal]"/>
        <w:spacing w:line="360" w:lineRule="auto"/>
        <w:ind w:firstLine="1134"/>
        <w:jc w:val="both"/>
        <w:rPr>
          <w:lang w:val="es-AR" w:eastAsia="es-AR" w:bidi="es-AR"/>
        </w:rPr>
      </w:pPr>
      <w:r>
        <w:rPr>
          <w:lang w:val="es-AR" w:eastAsia="es-AR" w:bidi="es-AR"/>
        </w:rPr>
        <w:t xml:space="preserve">Sobre la Incapacidad Parcial y Permanente argumenta que existen elementos suficientes en el expediente que justifican una indemnización superior, acorde con la gravedad de las lesiones sufridas, las secuelas permanentes, y el daño que continuará padeciendo a lo largo de su vida.-</w:t>
      </w:r>
    </w:p>
    <w:p>
      <w:pPr>
        <w:pStyle w:val="[Normal]"/>
        <w:spacing w:line="360" w:lineRule="auto"/>
        <w:ind w:firstLine="1134"/>
        <w:jc w:val="both"/>
        <w:rPr>
          <w:lang w:val="es-AR" w:eastAsia="es-AR" w:bidi="es-AR"/>
        </w:rPr>
      </w:pPr>
      <w:r>
        <w:rPr>
          <w:lang w:val="es-AR" w:eastAsia="es-AR" w:bidi="es-AR"/>
        </w:rPr>
        <w:t xml:space="preserve">Afirma que si bien el juez de primera instancia se resiste a aplicar fórmulas matemáticas para determinar el monto indemnizatorio debido a su jubilación, finalmente las utiliza, lo que considera incorrecto y en su perjuicio.-</w:t>
      </w:r>
    </w:p>
    <w:p>
      <w:pPr>
        <w:pStyle w:val="[Normal]"/>
        <w:spacing w:line="360" w:lineRule="auto"/>
        <w:ind w:firstLine="1134"/>
        <w:jc w:val="both"/>
        <w:rPr>
          <w:lang w:val="es-AR" w:eastAsia="es-AR" w:bidi="es-AR"/>
        </w:rPr>
      </w:pPr>
      <w:r>
        <w:rPr>
          <w:lang w:val="es-AR" w:eastAsia="es-AR" w:bidi="es-AR"/>
        </w:rPr>
        <w:t xml:space="preserve">Se duele de que la cifra de $2.485.000 no refleja su verdadera capacidad económica, señalando que el fallo consideró una jubilación mínima cuando ella percibe cinco veces más.-</w:t>
      </w:r>
    </w:p>
    <w:p>
      <w:pPr>
        <w:pStyle w:val="[Normal]"/>
        <w:spacing w:line="360" w:lineRule="auto"/>
        <w:ind w:firstLine="1134"/>
        <w:jc w:val="both"/>
        <w:rPr>
          <w:lang w:val="es-AR" w:eastAsia="es-AR" w:bidi="es-AR"/>
        </w:rPr>
      </w:pPr>
      <w:r>
        <w:rPr>
          <w:lang w:val="es-AR" w:eastAsia="es-AR" w:bidi="es-AR"/>
        </w:rPr>
        <w:t xml:space="preserve">Manifiesta que los testigos por ella aportados son prueba suficiente para acreditar las graves limitaciones severas para caminar, desplazarse y realizar actividades sociales, lo que afecta su calidad de vida.-</w:t>
      </w:r>
    </w:p>
    <w:p>
      <w:pPr>
        <w:pStyle w:val="[Normal]"/>
        <w:spacing w:line="360" w:lineRule="auto"/>
        <w:ind w:firstLine="1134"/>
        <w:jc w:val="both"/>
        <w:rPr>
          <w:lang w:val="es-AR" w:eastAsia="es-AR" w:bidi="es-AR"/>
        </w:rPr>
      </w:pPr>
      <w:r>
        <w:rPr>
          <w:lang w:val="es-AR" w:eastAsia="es-AR" w:bidi="es-AR"/>
        </w:rPr>
        <w:t xml:space="preserve">Se queja del monto de $1.300.000 otorgado en concepto por daño moral argumentando que no guarda relación con la gravedad de las lesiones sufridas ni con las secuelas incapacitantes que padece. </w:t>
      </w:r>
    </w:p>
    <w:p>
      <w:pPr>
        <w:pStyle w:val="[Normal]"/>
        <w:spacing w:line="360" w:lineRule="auto"/>
        <w:ind w:firstLine="1134"/>
        <w:jc w:val="both"/>
        <w:rPr>
          <w:lang w:val="es-AR" w:eastAsia="es-AR" w:bidi="es-AR"/>
        </w:rPr>
      </w:pPr>
      <w:r>
        <w:rPr>
          <w:lang w:val="es-AR" w:eastAsia="es-AR" w:bidi="es-AR"/>
        </w:rPr>
        <w:t xml:space="preserve">Afirma que para su cuantificación se debe considerar la índole de las lesiones, las intervenciones quirúrgicas, los tratamientos sufridos, la duración de los mismos, y las dolencias físicas y espirituales resultantes del accidente.-</w:t>
      </w:r>
    </w:p>
    <w:p>
      <w:pPr>
        <w:pStyle w:val="[Normal]"/>
        <w:spacing w:line="360" w:lineRule="auto"/>
        <w:ind w:firstLine="1134"/>
        <w:jc w:val="both"/>
        <w:rPr>
          <w:lang w:val="es-AR" w:eastAsia="es-AR" w:bidi="es-AR"/>
        </w:rPr>
      </w:pPr>
      <w:r>
        <w:rPr>
          <w:lang w:val="es-AR" w:eastAsia="es-AR" w:bidi="es-AR"/>
        </w:rPr>
        <w:t xml:space="preserve">Considera además, que la indemnización debe corresponder a los valores actuales y ajustarse a la naturaleza y extensión del daño, especialmente teniendo en cuenta el sufrimiento espiritual y psicológico causado por la incapacidad permanente.-</w:t>
      </w:r>
    </w:p>
    <w:p>
      <w:pPr>
        <w:pStyle w:val="[Normal]"/>
        <w:spacing w:line="360" w:lineRule="auto"/>
        <w:ind w:firstLine="1134"/>
        <w:jc w:val="both"/>
        <w:rPr>
          <w:lang w:val="es-AR" w:eastAsia="es-AR" w:bidi="es-AR"/>
        </w:rPr>
      </w:pPr>
      <w:r>
        <w:rPr>
          <w:lang w:val="es-AR" w:eastAsia="es-AR" w:bidi="es-AR"/>
        </w:rPr>
        <w:t xml:space="preserve">Por último, respecto del rubro gastos médicos, farmacéuticos, de rehabilitación y de traslado sostiene que yerra el a quo al considerar que las facturas y tickets acompañados en la demanda fueron desconocidos, ya que, si bien inicialmente se produjo un desconocimiento procesal, en la audiencia del 24 de febrero de 2024 la parte contraria reconoció expresamente la autenticidad formal de toda la documentación.-</w:t>
      </w:r>
    </w:p>
    <w:p>
      <w:pPr>
        <w:pStyle w:val="[Normal]"/>
        <w:spacing w:line="360" w:lineRule="auto"/>
        <w:ind w:firstLine="1134"/>
        <w:jc w:val="both"/>
        <w:rPr>
          <w:lang w:val="es-AR" w:eastAsia="es-AR" w:bidi="es-AR"/>
        </w:rPr>
      </w:pPr>
      <w:r>
        <w:rPr>
          <w:lang w:val="es-AR" w:eastAsia="es-AR" w:bidi="es-AR"/>
        </w:rPr>
        <w:t xml:space="preserve">Advierte que los gastos de curación, tratamientos, traslados, operaciones, cuidado y asistencia personal, documentados parcialmente en facturas y tickets por casi $300.000, resultaron estar muy por debajo del total realmente gastado.-</w:t>
      </w:r>
    </w:p>
    <w:p>
      <w:pPr>
        <w:pStyle w:val="[Normal]"/>
        <w:spacing w:line="360" w:lineRule="auto"/>
        <w:ind w:firstLine="1134"/>
        <w:jc w:val="both"/>
        <w:rPr>
          <w:lang w:val="es-AR" w:eastAsia="es-AR" w:bidi="es-AR"/>
        </w:rPr>
      </w:pPr>
      <w:r>
        <w:rPr>
          <w:lang w:val="es-AR" w:eastAsia="es-AR" w:bidi="es-AR"/>
        </w:rPr>
        <w:t xml:space="preserve">Dice que si bien las primeras curaciones las realizo en un hospital público, la atención médica principal se realizó en Clínica Pergamino generando múltiples erogaciones, aunque contara con cobertura de la prepaga OSDE.-</w:t>
      </w:r>
    </w:p>
    <w:p>
      <w:pPr>
        <w:pStyle w:val="[Normal]"/>
        <w:spacing w:line="360" w:lineRule="auto"/>
        <w:ind w:firstLine="1134"/>
        <w:jc w:val="both"/>
        <w:rPr>
          <w:lang w:val="es-AR" w:eastAsia="es-AR" w:bidi="es-AR"/>
        </w:rPr>
      </w:pPr>
      <w:r>
        <w:rPr>
          <w:lang w:val="es-AR" w:eastAsia="es-AR" w:bidi="es-AR"/>
        </w:rPr>
        <w:t xml:space="preserve">Solicita se modifique el fallo apelado y se incrementen los montos indemnizatorios otorgados con costas al demandado.-</w:t>
      </w:r>
    </w:p>
    <w:p>
      <w:pPr>
        <w:pStyle w:val="[Normal]"/>
        <w:spacing w:line="360" w:lineRule="auto"/>
        <w:ind w:firstLine="1134"/>
        <w:jc w:val="both"/>
        <w:rPr>
          <w:lang w:val="es-AR" w:eastAsia="es-AR" w:bidi="es-AR"/>
        </w:rPr>
      </w:pPr>
      <w:r>
        <w:rPr>
          <w:lang w:val="es-AR" w:eastAsia="es-AR" w:bidi="es-AR"/>
        </w:rPr>
        <w:t xml:space="preserve">A su turno, la parte demandada advierte que la expresión de agravios de la recurrente no satisface la crítica concreta y razonada del fallo por lo que pide se rechace el recurso de apelación con costas al actor.-</w:t>
      </w:r>
    </w:p>
    <w:p>
      <w:pPr>
        <w:pStyle w:val="[Normal]"/>
        <w:spacing w:line="360" w:lineRule="auto"/>
        <w:ind w:firstLine="1134"/>
        <w:jc w:val="both"/>
        <w:rPr>
          <w:lang w:val="es-AR" w:eastAsia="es-AR" w:bidi="es-AR"/>
        </w:rPr>
      </w:pPr>
      <w:r>
        <w:rPr>
          <w:lang w:val="es-AR" w:eastAsia="es-AR" w:bidi="es-AR"/>
        </w:rPr>
        <w:t xml:space="preserve">Liminarmente,</w:t>
      </w:r>
      <w:r>
        <w:rPr>
          <w:b/>
          <w:lang w:val="es-AR" w:eastAsia="es-AR" w:bidi="es-AR"/>
        </w:rPr>
        <w:t xml:space="preserve"> </w:t>
      </w:r>
      <w:r>
        <w:rPr>
          <w:color w:val="000000"/>
          <w:lang w:val="es-AR" w:eastAsia="es-AR" w:bidi="es-AR"/>
        </w:rPr>
        <w:t xml:space="preserve">en relación a la cuestión introducida expresamente por la parte demandada en su responde relativa al incumplimiento de los recaudos establecidos por el art. 260 del CPCC</w:t>
      </w:r>
      <w:r>
        <w:rPr>
          <w:lang w:val="es-AR" w:eastAsia="es-AR" w:bidi="es-AR"/>
        </w:rPr>
        <w:t xml:space="preserve">, cabe señalar que de la lectura del memorial arrimado por la codemandada se advierte una crítica del fallo apelado que logra superar mínimamente las exigencias técnicas previstas por el ritual en la materia, por lo que abastece el tratamiento del remedio recursivo.-</w:t>
      </w:r>
    </w:p>
    <w:p>
      <w:pPr>
        <w:pStyle w:val="[Normal]"/>
        <w:spacing w:line="360" w:lineRule="auto"/>
        <w:ind w:firstLine="1134"/>
        <w:jc w:val="both"/>
        <w:rPr>
          <w:lang w:val="es-AR" w:eastAsia="es-AR" w:bidi="es-AR"/>
        </w:rPr>
      </w:pPr>
      <w:r>
        <w:rPr>
          <w:lang w:val="es-AR" w:eastAsia="es-AR" w:bidi="es-AR"/>
        </w:rPr>
        <w:t xml:space="preserve">Entrando a resolver la cuestión traída, se advierte que el disgusto se centra en la disconformidad con los valores asignados en concepto de "incapacidad parcial y permanente", "daño moral" y "gastos médicos, farmacéuticos, de rehabilitación y de traslado" en tanto los encuentra considerablemente bajos con relación al porcentaje de incapacidad otorgado.-</w:t>
      </w:r>
    </w:p>
    <w:p>
      <w:pPr>
        <w:pStyle w:val="[Normal]"/>
        <w:spacing w:line="360" w:lineRule="auto"/>
        <w:ind w:firstLine="1134"/>
        <w:jc w:val="both"/>
        <w:rPr>
          <w:lang w:val="es-AR" w:eastAsia="es-AR" w:bidi="es-AR"/>
        </w:rPr>
      </w:pPr>
      <w:r>
        <w:rPr>
          <w:lang w:val="es-AR" w:eastAsia="es-AR" w:bidi="es-AR"/>
        </w:rPr>
        <w:t xml:space="preserve">En cuanto al primero de ellos, la determinación de la incapacidad no debe hacerse sobre la base exclusiva de la disminución laboral de la victima. Ésta constituye un dato relevante a tener en cuenta, pero en modo alguno el único y, en ciertos casos, ni siquiera el más importante. Es preciso ponderar múltiples aspectos vitales que hacen a la persona humana integralmente considerada, con su multiforme actividad, no sólo en abstracto sino atendiendo a las condiciones personales de la víctima (por ejemplo.: edad, sexo, estado civil, profesión, salud y condición social). (Pizarro-Vallespinos; "Tratado de responsabilidad civil", Tomo l, Parte General, Rubinzal Culzoni, año 2017 pág 737).-  </w:t>
      </w:r>
    </w:p>
    <w:p>
      <w:pPr>
        <w:pStyle w:val="[Normal]"/>
        <w:spacing w:line="360" w:lineRule="auto"/>
        <w:ind w:firstLine="1134"/>
        <w:jc w:val="both"/>
        <w:rPr>
          <w:lang w:val="es-AR" w:eastAsia="es-AR" w:bidi="es-AR"/>
        </w:rPr>
      </w:pPr>
      <w:r>
        <w:rPr>
          <w:lang w:val="es-AR" w:eastAsia="es-AR" w:bidi="es-AR"/>
        </w:rPr>
        <w:t xml:space="preserve">Se incluye aquí, entre otros aspectos que deben tomarse en cuenta para valorar el daño patrimonial, las actividades intelectuales, artísticas o deportivas; las relativas a la vida en relación; o todas aquellas que normalmente le proporcionaban placer, bienestar o gozo no reprobados por el ordenamiento jurídico. (Pizarro-Vallespinos, ob. cit., Tomo l, pág 735).-</w:t>
      </w:r>
    </w:p>
    <w:p>
      <w:pPr>
        <w:pStyle w:val="[Normal]"/>
        <w:spacing w:line="360" w:lineRule="auto"/>
        <w:ind w:firstLine="1134"/>
        <w:jc w:val="both"/>
        <w:rPr>
          <w:i/>
          <w:lang w:val="es-AR" w:eastAsia="es-AR" w:bidi="es-AR"/>
        </w:rPr>
      </w:pPr>
      <w:r>
        <w:rPr>
          <w:lang w:val="es-AR" w:eastAsia="es-AR" w:bidi="es-AR"/>
        </w:rPr>
        <w:t xml:space="preserve">Insisto entonces, el daño indemnizable derivado de una situación incapacitante no sólo debe comprender el menoscabo de las aptitudes laborativas o frustración de los ingresos de la víctima, sino también la integral afectación de su personalidad en su vida personal y de relación. 	</w:t>
        <w:br w:type="textWrapping"/>
      </w:r>
      <w:r>
        <w:rPr>
          <w:lang w:val="es-AR" w:eastAsia="es-AR" w:bidi="es-AR"/>
        </w:rPr>
        <w:t xml:space="preserve"> 	En tal sentido, se ha destacado </w:t>
      </w:r>
      <w:r>
        <w:rPr>
          <w:i/>
          <w:lang w:val="es-AR" w:eastAsia="es-AR" w:bidi="es-AR"/>
        </w:rPr>
        <w:t xml:space="preserve">"la necesidad de ampliar la extensión del concepto de daño patrimonial y extrapatrimonial derivados de lesiones a la integridad psicofísica. En este aspecto, estimamos que el daño indemnizable derivado de una situación incapacitante no sólo debe comprender el menoscabo de las aptitudes laborativas o frustración de los ingresos de la víctima, sino también la integral afectación de su personalidad en su vida personal y de relación. (...)	</w:t>
        <w:br w:type="textWrapping"/>
      </w:r>
      <w:r>
        <w:rPr>
          <w:i/>
          <w:lang w:val="es-AR" w:eastAsia="es-AR" w:bidi="es-AR"/>
        </w:rPr>
        <w:t xml:space="preserve"> 	Esta afectación de aptitudes personales no laborativas puede repercutir sobre intereses extrapatrimoniales y configurar daño moral derivado de la incapacidad, a cuyo efecto deberán encuadrarse como tal, ampliándose coherentemente la indemnización que se fija por dicho concepto sin dejarlo absorbido dentro de un supuesto rubro de incapacidad per se. (...)	</w:t>
        <w:br w:type="textWrapping"/>
      </w:r>
      <w:r>
        <w:rPr>
          <w:i/>
          <w:lang w:val="es-AR" w:eastAsia="es-AR" w:bidi="es-AR"/>
        </w:rPr>
        <w:t xml:space="preserve"> 	Y también es posible que la limitación de estas facultades personales no estrictamente productivas, pero de utilidad en el sentido de satisfacer necesidades o proporcionar bienestar material, generen daño patrimonial por incapacidad. De donde se sigue que este último concepto posee dos grandes vertientes: la que indemniza consecuencias patrimoniales derivadas de la limitación de actividades remuneradas –la más tradicional, conocida y comúnmente aceptada- y la que indemniza consecuencias patrimoniales derivadas de limitación de actividades de utilidad no remuneradas –las que normalmente se desestiman o se circunscriben únicamente a las consecuencias no patrimoniales del daño-. (...)	</w:t>
      </w:r>
    </w:p>
    <w:p>
      <w:pPr>
        <w:pStyle w:val="[Normal]"/>
        <w:spacing w:line="360" w:lineRule="auto"/>
        <w:ind w:firstLine="1134"/>
        <w:jc w:val="both"/>
        <w:rPr>
          <w:lang w:val="es-AR" w:eastAsia="es-AR" w:bidi="es-AR"/>
        </w:rPr>
      </w:pPr>
      <w:r>
        <w:rPr>
          <w:i/>
          <w:lang w:val="es-AR" w:eastAsia="es-AR" w:bidi="es-AR"/>
        </w:rPr>
        <w:t xml:space="preserve">Con notable claridad conceptual, la Sala II de la Cámara Civil y Comercial de Mar del Plata ha sostenido que: “La incapacidad no sólo debe medirse en el aspecto del trabajo, sino también en cuanto atañe a las actividades de la víctima y la proyección que tiene el accidente sobre la personalidad integral. Cabe valorar la forma en que la lesión gravita sobre otros aspectos de esta personalidad: domésticos, deportivos, culturales, estéticos, sociales, etc., que en la medida en que afecten el desarrollo pleno de la vida de ésta, son susceptibles de ser tenidos en cuenta, al margen de lo que se otorgue en concepto de daño moral” (CCivCom de Mar del Plata,  Sala II, 16/12/97, RepJA, 2001-543, n° 435, en sentido similar CN Civ, Sala H, 13/2/06, DJ, 2007-1-20).	</w:t>
        <w:br w:type="textWrapping"/>
      </w:r>
      <w:r>
        <w:rPr>
          <w:i/>
          <w:lang w:val="es-AR" w:eastAsia="es-AR" w:bidi="es-AR"/>
        </w:rPr>
        <w:t xml:space="preserve"> 	La conclusión precedente deviene como corolario lógico de una interpretación sistémica del ordenamiento jurídico en el marco del diálogo de fuentes entendido como método interpretativo armonizador que, evitando la exclusión de unas normas por otras, posibilita la aplicación simultánea, coherente y coordinada de fuentes normativas convergentes (cf. art. 2 del CCyC). (...)	</w:t>
        <w:br w:type="textWrapping"/>
      </w:r>
      <w:r>
        <w:rPr>
          <w:i/>
          <w:lang w:val="es-AR" w:eastAsia="es-AR" w:bidi="es-AR"/>
        </w:rPr>
        <w:t xml:space="preserve"> 	Por un lado, el art. 1746 del CCyC discurre en esa línea al englobar ambos tipos de incapacidades: las relativas a “actividades productivas” y las relativas a “económicamente valorables”. (...)	</w:t>
        <w:br w:type="textWrapping"/>
      </w:r>
      <w:r>
        <w:rPr>
          <w:i/>
          <w:lang w:val="es-AR" w:eastAsia="es-AR" w:bidi="es-AR"/>
        </w:rPr>
        <w:t xml:space="preserve"> 	Y por otro, este replanteo de la cuestión deviene congruente con la dignidad de la persona como valor supremo a tutelar por el ordenamiento jurídico, erigiéndose como la médula del sistema del derecho de daños. Esa dignidad está en la actualidad asociada a múltiples aspectos de la existencia humana. Ello parte de un cambio revolucionario que marca un contraste entre el humanismo actual y la deshumanización del derecho anterior. Se trata del paso de una concepción patrimonialista del daño centrada en un hombre que vale por lo que tiene o produce, hacia una concepción personalista del perjuicio que pone el acento en lo que el hombre es. (...)	</w:t>
        <w:br w:type="textWrapping"/>
      </w:r>
      <w:r>
        <w:rPr>
          <w:i/>
          <w:lang w:val="es-AR" w:eastAsia="es-AR" w:bidi="es-AR"/>
        </w:rPr>
        <w:t xml:space="preserve"> 	Esta interpretación encuentra sólido sustento en la axiología del Código Civil y Comercial que entroniza a la persona humana como centro de protección del sistema. Y en varias disposiciones alude al concepto de dignidad personal (vgr., art. 1097 del CCyC), que debe ser interpretado conforme a los criterios generales emergentes de los tratados de derechos humanos (art. 1 y 2 del CCyC). (...)" </w:t>
      </w:r>
      <w:r>
        <w:rPr>
          <w:lang w:val="es-AR" w:eastAsia="es-AR" w:bidi="es-AR"/>
        </w:rPr>
        <w:t xml:space="preserve">(MOREA, Adrián O., Las lesiones temporales y el daño resarcible en el sistema indemnizatorio argentino, Temas de Derecho Civil, Persona y Patrimonio / Edición: 2020/Septiembre).</w:t>
      </w:r>
    </w:p>
    <w:p>
      <w:pPr>
        <w:pStyle w:val="[Normal]"/>
        <w:spacing w:line="360" w:lineRule="auto"/>
        <w:ind w:firstLine="1134"/>
        <w:jc w:val="both"/>
        <w:rPr>
          <w:lang w:val="es-AR" w:eastAsia="es-AR" w:bidi="es-AR"/>
        </w:rPr>
      </w:pPr>
      <w:r>
        <w:rPr>
          <w:lang w:val="es-AR" w:eastAsia="es-AR" w:bidi="es-AR"/>
        </w:rPr>
        <w:t xml:space="preserve">Ahora bien, en la especie, solo una de las dos facetas resulta indemnizable desde que la víctima no desarrollaba actividad laboral remunerada, puesto que es la propia actora quien reconoce que al tiempo del accidente se encontraba jubilada.- </w:t>
      </w:r>
    </w:p>
    <w:p>
      <w:pPr>
        <w:pStyle w:val="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360" w:lineRule="auto"/>
        <w:ind w:firstLine="1134"/>
        <w:jc w:val="both"/>
        <w:rPr>
          <w:lang w:val="es-AR" w:eastAsia="es-AR" w:bidi="es-AR"/>
        </w:rPr>
      </w:pPr>
      <w:r>
        <w:rPr>
          <w:lang w:val="es-AR" w:eastAsia="es-AR" w:bidi="es-AR"/>
        </w:rPr>
        <w:t xml:space="preserve">La condición de jubilado del actor impiden considerar que se haya visto privado de ganancias por su incapacidad, debiéndose centrar el análisis en la incapacidad permanente futura que trajo para la víctima continuar con el desarrollo normal – en comparación con el estado anterior - de sus aptitudes personales no laborativas (autonomía personal, potencialidad psicomotriz, vida en relación, etc.). </w:t>
      </w:r>
    </w:p>
    <w:p>
      <w:pPr>
        <w:pStyle w:val="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360" w:lineRule="auto"/>
        <w:ind w:firstLine="1134"/>
        <w:jc w:val="both"/>
        <w:rPr>
          <w:sz w:val="23"/>
          <w:lang w:val="es-AR" w:eastAsia="es-AR" w:bidi="es-AR"/>
        </w:rPr>
      </w:pPr>
      <w:r>
        <w:rPr>
          <w:lang w:val="es-AR" w:eastAsia="es-AR" w:bidi="es-AR"/>
        </w:rPr>
        <w:t xml:space="preserve">En este contexto, de nada sirve en autos la utilización de las fórmulas polinómicas, ya que éstas cuantifican las indemnizaciones por incapacidad o fallecimiento calculando el valor presente de una renta futura no perpetua. Esto es, determinan qué valor tiene al momento de cuantificarse una serie de sumas de dinero futuras. Pero aquí no habría técnicamente privación de renta futura, sino una limitación de aptitudes personales no laborativas valorables económicamente.</w:t>
      </w:r>
    </w:p>
    <w:p>
      <w:pPr>
        <w:pStyle w:val="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360" w:lineRule="auto"/>
        <w:ind w:firstLine="1134"/>
        <w:jc w:val="both"/>
        <w:rPr>
          <w:lang w:val="es-AR" w:eastAsia="es-AR" w:bidi="es-AR"/>
        </w:rPr>
      </w:pPr>
      <w:r>
        <w:rPr>
          <w:lang w:val="es-AR" w:eastAsia="es-AR" w:bidi="es-AR"/>
        </w:rPr>
        <w:t xml:space="preserve">Como este Tribunal ha dicho en la causa </w:t>
      </w:r>
      <w:r>
        <w:rPr>
          <w:i/>
          <w:lang w:val="es-AR" w:eastAsia="es-AR" w:bidi="es-AR"/>
        </w:rPr>
        <w:t xml:space="preserve">"Berón"</w:t>
      </w:r>
      <w:r>
        <w:rPr>
          <w:lang w:val="es-AR" w:eastAsia="es-AR" w:bidi="es-AR"/>
        </w:rPr>
        <w:t xml:space="preserve">, </w:t>
      </w:r>
      <w:r>
        <w:rPr>
          <w:i/>
          <w:lang w:val="es-AR" w:eastAsia="es-AR" w:bidi="es-AR"/>
        </w:rPr>
        <w:t xml:space="preserve">"Cabe recordar, en este sentido, que las fórmulas actuariales o baremos constituyen instrumentos que orientan a las partes y a los magistrados para esclarecer la existencia y entidad de la incapacidad laborativa genérica que una persona puede experimentar; pero sus resultados deben necesariamente ser conjugados con otros elementos que brinda la realidad del caso concreto, de persona, tiempo y lugar, para la determinación de la incapacidad específica de la víctima"</w:t>
      </w:r>
      <w:r>
        <w:rPr>
          <w:lang w:val="es-AR" w:eastAsia="es-AR" w:bidi="es-AR"/>
        </w:rPr>
        <w:t xml:space="preserve">  (CAP 3278-18).-</w:t>
      </w:r>
    </w:p>
    <w:p>
      <w:pPr>
        <w:pStyle w:val="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360" w:lineRule="auto"/>
        <w:ind w:firstLine="1134"/>
        <w:jc w:val="both"/>
        <w:rPr>
          <w:lang w:val="es-AR" w:eastAsia="es-AR" w:bidi="es-AR"/>
        </w:rPr>
      </w:pPr>
      <w:r>
        <w:rPr>
          <w:lang w:val="es-AR" w:eastAsia="es-AR" w:bidi="es-AR"/>
        </w:rPr>
        <w:t xml:space="preserve">Recapitulando entonces, a los fines de cuantificar el resarcimiento del presente rubro debe considerarse: 1) la edad de la actora (67 años al momento del hecho); 2) su ocupación (jubilada); 3) la naturaleza de las lesiones sufridas y sus secuelas que alcanzan una incapacidad del 20% (pericia médica 28-11-2024) y 4) la implicancia de estas en su vida en relación y en el proyecto de vida.- </w:t>
      </w:r>
    </w:p>
    <w:p>
      <w:pPr>
        <w:pStyle w:val="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360" w:lineRule="auto"/>
        <w:ind w:firstLine="1134"/>
        <w:jc w:val="both"/>
        <w:rPr>
          <w:sz w:val="23"/>
          <w:lang w:val="es-AR" w:eastAsia="es-AR" w:bidi="es-AR"/>
        </w:rPr>
      </w:pPr>
      <w:r>
        <w:rPr>
          <w:lang w:val="es-AR" w:eastAsia="es-AR" w:bidi="es-AR"/>
        </w:rPr>
        <w:t xml:space="preserve">En razón de tales premisas, considero justo el importe de $2.485.000 otorgado por el sentenciante de grado no logrando los agravios del recurrente conmoverme de lo contrario.-</w:t>
      </w:r>
    </w:p>
    <w:p>
      <w:pPr>
        <w:pStyle w:val="[Normal]"/>
        <w:spacing w:line="360" w:lineRule="auto"/>
        <w:ind w:firstLine="1134"/>
        <w:jc w:val="both"/>
        <w:rPr>
          <w:lang w:val="es-AR" w:eastAsia="es-AR" w:bidi="es-AR"/>
        </w:rPr>
      </w:pPr>
      <w:r>
        <w:rPr>
          <w:lang w:val="es-AR" w:eastAsia="es-AR" w:bidi="es-AR"/>
        </w:rPr>
        <w:t xml:space="preserve">Sobre el daño moral, he de señalar que la Cámara de Apelación en lo Civil y Comercial de San Nicolás ha entendido que </w:t>
      </w:r>
      <w:r>
        <w:rPr>
          <w:i/>
          <w:lang w:val="es-AR" w:eastAsia="es-AR" w:bidi="es-AR"/>
        </w:rPr>
        <w:t xml:space="preserve">"La valoración del detrimento del daño moral no se encuentra sujeta a cánones estrictos, sino que corresponde a los jueces de la causa establecer en forma prudente el quantum indemnizatorio, tomando como base la gravitación de la lesión sufrida y el hecho generador de la responsabilidad, su función resarcitoria y el principio de reparación integral; tal valoración está sujeta a la apreciación prudencial de los jueces (art. 165 del C.P.C. y C.), ello en atención a que son obvias las dificultades que existen para mensurar en dinero un detrimento de naturaleza no patrimonial, razón por la que ha de tratarse de que atienda apropiadamente a la magnitud del menoscabo espiritual.  Siendo ello así, la reparación del daño moral debe ser determinada ponderando esencialmente la índole de los sufrimientos de quien los padece y no mediante una proporción que los vincule con los daños cuya indemnización se reclama"</w:t>
      </w:r>
      <w:r>
        <w:rPr>
          <w:lang w:val="es-AR" w:eastAsia="es-AR" w:bidi="es-AR"/>
        </w:rPr>
        <w:t xml:space="preserve"> (CC0100 SN 8512, Carátula: Rizzotto, Luis Alberto y Otro c/ Miño, Angel Amavelio y Otros s/ Daños y Perjuicios S 20/12/2011).-</w:t>
      </w:r>
    </w:p>
    <w:p>
      <w:pPr>
        <w:pStyle w:val="[Normal]"/>
        <w:spacing w:line="360" w:lineRule="auto"/>
        <w:ind w:firstLine="1134"/>
        <w:jc w:val="both"/>
        <w:rPr>
          <w:lang w:val="es-AR" w:eastAsia="es-AR" w:bidi="es-AR"/>
        </w:rPr>
      </w:pPr>
      <w:r>
        <w:rPr>
          <w:lang w:val="es-AR" w:eastAsia="es-AR" w:bidi="es-AR"/>
        </w:rPr>
        <w:t xml:space="preserve">Parto entonces de la base de que el daño moral, no patrimonial o extrapatrimonial (Art. 1741 CCCN) puede ser concebido como el comprensivo “de todos los detrimentos espirituales no incapacitantes del actor, el dolor, las aflicciones, los padecimientos, desconsuelo, desdicha, congoja, que provocan malestar grave y que alteran la estructura de los pensamientos, emociones y sentimientos” (arts. 1078 CC y 1741 CCCN; esta Sala, sentencia única recaída en causas nº 61.417, “Latu…” y nº 61.459, “Corradi…”, del 07/03/2017; causas nro. 62.485, “Zampatti” y nro. 62.567, “Gorozo”, sent. única del 22/5/18).  La víctima tiene una percepción negativa o distorsionada de la realidad (a raíz de la alteración de los pensamientos), que provoca repercusiones desfavorables en las emociones (ira, miedo, alegría, tristeza, asco, sorpresa) alterando los sentimientos (amor, fe, vergüenza, odio, culpa, envidia; arts. 1078 y 1741 CCCN)” (Galdós, Jorge Mario, “Hacia una nueva concepción del daño moral.  El aporte de las neurociencias” La Ley 28/9/2020, AR/DOC/2903/2020, criterio recogido por el Tribunal Colegiado de Responsabilidad Extrancontractual N° 1, Primera Secretaría, de Santa Fe, CUIJ 21-12154089-1, autos “Monzón…”, sent. del día 13 de noviembre de 2020).-</w:t>
      </w:r>
    </w:p>
    <w:p>
      <w:pPr>
        <w:pStyle w:val="[Normal]"/>
        <w:spacing w:line="360" w:lineRule="auto"/>
        <w:ind w:firstLine="1134"/>
        <w:jc w:val="both"/>
        <w:rPr>
          <w:lang w:val="es-AR" w:eastAsia="es-AR" w:bidi="es-AR"/>
        </w:rPr>
      </w:pPr>
      <w:r>
        <w:rPr>
          <w:lang w:val="es-AR" w:eastAsia="es-AR" w:bidi="es-AR"/>
        </w:rPr>
        <w:t xml:space="preserve">El resarcimiento del rubro y el ejercicio de las facultades emergentes del art. 165 del CPCC quedan librados al prudente arbitrio judicial, y en el caso puntual este daño moral no requiere la producción de prueba directa, se lo tiene por configurado ante la razonable presunción de que el ilícito afectó el equilibrio espiritual de la persona.  Es que se  funda en el art. 1741 del CCyC y se tiene por acreditado con la sola comisión del acto antijurídico, puesta se trata de una prueba in re ipsa, esto es, que surge inmediatamente de los hechos mismos, sin que tenga que guardar proporción con los demás perjuicios admitidos.- </w:t>
      </w:r>
    </w:p>
    <w:p>
      <w:pPr>
        <w:pStyle w:val="Defaul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360" w:lineRule="auto"/>
        <w:ind w:firstLine="1134"/>
        <w:jc w:val="both"/>
        <w:rPr>
          <w:lang w:val="es-AR" w:eastAsia="es-AR" w:bidi="es-AR"/>
        </w:rPr>
      </w:pPr>
      <w:r>
        <w:rPr>
          <w:lang w:val="es-AR" w:eastAsia="es-AR" w:bidi="es-AR"/>
        </w:rPr>
        <w:t xml:space="preserve">En la especie, claramente surge que la situación vivida por la actora le ha provocado una alteración del equilibrio espiritual, por lo que en la tarea de mensuración he de tener en cuenta la naturaleza del daño, el grado de incapacidad acreditado en autos (20%), las cirugías a las que fue sometida, el reposo que tuvo que guardar, su edad (67 años), las limitaciones de la actora en su vida social y la judicialización a la que tuvo que acudir en sede civil para obtener una respuesta jurisdiccional, es que propongo al Acuerdo</w:t>
      </w:r>
      <w:r>
        <w:rPr>
          <w:b/>
          <w:lang w:val="es-AR" w:eastAsia="es-AR" w:bidi="es-AR"/>
        </w:rPr>
        <w:t xml:space="preserve"> </w:t>
      </w:r>
      <w:r>
        <w:rPr>
          <w:lang w:val="es-AR" w:eastAsia="es-AR" w:bidi="es-AR"/>
        </w:rPr>
        <w:t xml:space="preserve">aumentar la suma otorgada por daño moral y fijarla en  la suma de Pesos dos millones ($2.000.000).-</w:t>
      </w:r>
    </w:p>
    <w:p>
      <w:pPr>
        <w:pStyle w:val="[Normal]"/>
        <w:spacing w:line="360" w:lineRule="auto"/>
        <w:ind w:firstLine="1134"/>
        <w:jc w:val="both"/>
        <w:rPr>
          <w:lang w:val="es-AR" w:eastAsia="es-AR" w:bidi="es-AR"/>
        </w:rPr>
      </w:pPr>
      <w:r>
        <w:rPr>
          <w:lang w:val="es-AR" w:eastAsia="es-AR" w:bidi="es-AR"/>
        </w:rPr>
        <w:t xml:space="preserve">Por último, respecto a la queja por el importe de $130.000 dado por gastos médicos, farmacéuticos, de rehabilitación y de traslado se considera procedente el reembolso de los gastos que la víctima debió afrontar como consecuencia del hecho. Esta procedencia subsiste aún en ausencia de prueba documental que acredite de manera fehaciente y directa las erogaciones realizadas, siempre que su vinculación con la lesión padecida y el período de tratamiento sea razonablemente comprobable.-</w:t>
      </w:r>
    </w:p>
    <w:p>
      <w:pPr>
        <w:pStyle w:val="[Normal]"/>
        <w:spacing w:line="360" w:lineRule="auto"/>
        <w:ind w:firstLine="1134"/>
        <w:jc w:val="both"/>
        <w:rPr>
          <w:lang w:val="es-AR" w:eastAsia="es-AR" w:bidi="es-AR"/>
        </w:rPr>
      </w:pPr>
      <w:r>
        <w:rPr>
          <w:lang w:val="es-AR" w:eastAsia="es-AR" w:bidi="es-AR"/>
        </w:rPr>
        <w:t xml:space="preserve">En este sentido se ha dicho jurisprudencialmente "</w:t>
      </w:r>
      <w:r>
        <w:rPr>
          <w:i/>
          <w:lang w:val="es-AR" w:eastAsia="es-AR" w:bidi="es-AR"/>
        </w:rPr>
        <w:t xml:space="preserve">Los gastos médicos y farmacológicos se presumen a partir de la producción de un daño mensurable, y no requieren de una prueba expresa, excepto que su monto sea oneroso y requiera de una demostración especial. Es decir que probado el daño físico se presume que el actor realizó erogaciones en medicamentos y traslados para el tratamiento de las dolencias, siempre que revistan el carácter de prudentes, en tanto que las sumas mayores deben ser debidamente alegadas y acreditadas. No resulta óbice que la víctima del siniestro haya sido tratada por profesionales y centros asistenciales públicos toda vez que los gastos efectuados no se limitan a esas atenciones puntuales, sino a los gastos producidos en este aspecto a partir de las dolencias padecidas (CC0202 LP 132037 RSD-163-2022 S 08/08/2022 JUBA B5081631).-</w:t>
      </w:r>
    </w:p>
    <w:p>
      <w:pPr>
        <w:pStyle w:val="Normal"/>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after="0" w:line="360" w:lineRule="auto"/>
        <w:ind w:firstLine="1134"/>
        <w:jc w:val="both"/>
        <w:rPr>
          <w:rFonts w:ascii="Arial" w:hAnsi="Arial" w:eastAsia="Arial" w:cs="Arial"/>
          <w:sz w:val="24"/>
          <w:lang w:val="es-AR" w:eastAsia="es-AR" w:bidi="es-AR"/>
        </w:rPr>
      </w:pPr>
      <w:r>
        <w:rPr>
          <w:rFonts w:ascii="Arial" w:hAnsi="Arial" w:eastAsia="Arial" w:cs="Arial"/>
          <w:sz w:val="24"/>
          <w:lang w:val="es-AR" w:eastAsia="es-AR" w:bidi="es-AR"/>
        </w:rPr>
        <w:t xml:space="preserve">Sin perjuicio de ello, la presunción es susceptible de rebatirse por prueba en contrario, la que deberá producir quien alega la improcedencia del reclamo (si el recurrente es el demandado) o pretende una suma superior a la fijada por el sentenciante en uso de las facultades que le otorga el art.165 del Cód. Procesal, cuando se trata del accionante (Conf. C. N. Civ. Sala “J”, 21/8/2020 Expte N° 75.122/2014 “Alustiza, Eduardo Luis c/ Marquez, Guillermo Nicolás s/ daños y perjuicios”).-</w:t>
      </w:r>
    </w:p>
    <w:p>
      <w:pPr>
        <w:pStyle w:val="Normal"/>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after="0" w:line="360" w:lineRule="auto"/>
        <w:ind w:firstLine="1134"/>
        <w:jc w:val="both"/>
        <w:rPr>
          <w:rFonts w:ascii="Arial" w:hAnsi="Arial" w:eastAsia="Arial" w:cs="Arial"/>
          <w:sz w:val="24"/>
          <w:lang w:val="es-AR" w:eastAsia="es-AR" w:bidi="es-AR"/>
        </w:rPr>
      </w:pPr>
      <w:r>
        <w:rPr>
          <w:rFonts w:ascii="Arial" w:hAnsi="Arial" w:eastAsia="Arial" w:cs="Arial"/>
          <w:sz w:val="24"/>
          <w:lang w:val="es-AR" w:eastAsia="es-AR" w:bidi="es-AR"/>
        </w:rPr>
        <w:t xml:space="preserve">No es indispensable, de tal modo, rendir una prueba detallada, ni la presentación en juicio de todos los comprobantes o recibos correspondientes a dichas erogaciones, ni su reconocimiento total en sede judicial (Pizarro-Vallespinos, ob. cit., Tomo l, pág 725).-</w:t>
      </w:r>
    </w:p>
    <w:p>
      <w:pPr>
        <w:pStyle w:val="[Normal]"/>
        <w:spacing w:line="360" w:lineRule="auto"/>
        <w:ind w:firstLine="1134"/>
        <w:jc w:val="both"/>
        <w:rPr>
          <w:lang w:val="es-AR" w:eastAsia="es-AR" w:bidi="es-AR"/>
        </w:rPr>
      </w:pPr>
      <w:r>
        <w:rPr>
          <w:lang w:val="es-AR" w:eastAsia="es-AR" w:bidi="es-AR"/>
        </w:rPr>
        <w:t xml:space="preserve">En virtud de ello, dada la prueba documental acompañada por la actora en su libelo inicial (facturas de médicos, recibos por compra de insumos y de farmacia) reconocida su autenticidad formal por las partes en fecha 24-2-2025 y considerando la entidad de las lesiones sufridas por la reclamante con motivo del accidente de marras propongo al Acuerdo aumentar la indemnización por este rubro en la suma de $300.000 (Pesos trescientos mil).-</w:t>
      </w:r>
      <w:r>
        <w:rPr>
          <w:sz w:val="23"/>
          <w:lang w:val="es-AR" w:eastAsia="es-AR" w:bidi="es-AR"/>
        </w:rPr>
        <w:t xml:space="preserve">                                       </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la señora Jueza Graciela Scaraffia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Hacer lugar parcialmente al recurso de apelación deducido por la parte actora incrementando la indemnización por daño moral y gastos médicos, farmacéuticos, de rehabilitación y de traslado los que se fijan en $2.000.000 (pesos dos millones) y $300.000 (pesos trescientos mil) respectivamente. Confirmar en todo lo demás la sentencia atacada.-</w:t>
      </w:r>
    </w:p>
    <w:p>
      <w:pPr>
        <w:pStyle w:val="[Normal]"/>
        <w:spacing w:line="360" w:lineRule="auto"/>
        <w:ind w:firstLine="1134"/>
        <w:jc w:val="both"/>
        <w:rPr>
          <w:lang w:val="es-AR" w:eastAsia="es-AR" w:bidi="es-AR"/>
        </w:rPr>
      </w:pPr>
      <w:r>
        <w:rPr>
          <w:lang w:val="es-AR" w:eastAsia="es-AR" w:bidi="es-AR"/>
        </w:rPr>
        <w:t xml:space="preserve">Imponer las costas de Alzada a la demandada que resulta vencida (Art 68/9 CPCC).-</w:t>
      </w:r>
    </w:p>
    <w:p>
      <w:pPr>
        <w:pStyle w:val="[Normal]"/>
        <w:spacing w:line="360" w:lineRule="auto"/>
        <w:ind w:firstLine="1134"/>
        <w:jc w:val="both"/>
        <w:rPr>
          <w:lang w:val="es-AR" w:eastAsia="es-AR" w:bidi="es-AR"/>
        </w:rPr>
      </w:pPr>
      <w:r>
        <w:rPr>
          <w:lang w:val="es-AR" w:eastAsia="es-AR" w:bidi="es-AR"/>
        </w:rPr>
        <w:t xml:space="preserve">Diferir la regulación de honorarios de los letrados hasta tanto obre en autos liquidación firme (arts. 31 y 51 ley 14.967).-</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lang w:val="es-AR" w:eastAsia="es-AR" w:bidi="es-AR"/>
        </w:rPr>
        <w:t xml:space="preserve">S E N T E N C I A</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Hacer lugar parcialmente al recurso de apelación deducido por la parte actora incrementando la indemnización por daño moral y gastos médicos, farmacéuticos, de rehabilitación y de traslado los que se fijan en $2.000.000 (pesos dos millones) y $300.000 (pesos trescientos mil) respectivamente. Confirmar en todo lo demás la sentencia atacada.-</w:t>
      </w:r>
    </w:p>
    <w:p>
      <w:pPr>
        <w:pStyle w:val="[Normal]"/>
        <w:spacing w:line="360" w:lineRule="auto"/>
        <w:ind w:firstLine="1134"/>
        <w:jc w:val="both"/>
        <w:rPr>
          <w:lang w:val="es-AR" w:eastAsia="es-AR" w:bidi="es-AR"/>
        </w:rPr>
      </w:pPr>
      <w:r>
        <w:rPr>
          <w:lang w:val="es-AR" w:eastAsia="es-AR" w:bidi="es-AR"/>
        </w:rPr>
        <w:t xml:space="preserve">Imponer las costas de Alzada a la demandada que resulta vencida (Art 68/9 CPCC).-</w:t>
      </w:r>
    </w:p>
    <w:p>
      <w:pPr>
        <w:pStyle w:val="[Normal]"/>
        <w:spacing w:line="360" w:lineRule="auto"/>
        <w:ind w:firstLine="1134"/>
        <w:jc w:val="both"/>
        <w:rPr>
          <w:lang w:val="es-AR" w:eastAsia="es-AR" w:bidi="es-AR"/>
        </w:rPr>
      </w:pPr>
      <w:r>
        <w:rPr>
          <w:lang w:val="es-AR" w:eastAsia="es-AR" w:bidi="es-AR"/>
        </w:rPr>
        <w:t xml:space="preserve">Diferir la regulación de honorarios de los letrados hasta tanto obre en autos liquidación firme (arts. 31 y 51 ley 14.967).-</w:t>
      </w:r>
    </w:p>
    <w:p>
      <w:pPr>
        <w:pStyle w:val="[Normal]"/>
        <w:spacing w:line="360" w:lineRule="auto"/>
        <w:ind w:firstLine="1134"/>
        <w:jc w:val="both"/>
        <w:rPr>
          <w:lang w:val="es-AR" w:eastAsia="es-AR" w:bidi="es-AR"/>
        </w:rPr>
      </w:pPr>
      <w:r>
        <w:rPr>
          <w:lang w:val="es-AR" w:eastAsia="es-AR" w:bidi="es-AR"/>
        </w:rPr>
        <w:t xml:space="preserve">Regístrese. Notifíquese por Secretaría (Ac. 4013 y mod. SCBA) remitiéndose copia digital de la presente sentencia a los domicilios electrónicos de las respectivas partes. Devuélvase.-</w:t>
      </w:r>
      <w:r>
        <w:rPr>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27261845577@NOTIFICACIONES.SCBA.GOV.AR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20206719290@NOTIFICACIONES.SCBA.GOV.AR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11/11/2025 10:26:03 -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11/11/2025 11:05:26 -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11/11/2025 11:07:53 - PELUSA Juan Cruz - AUXILIAR LETRADO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‰8r")è&amp;d|E^Š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248202090006689237</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11/11/2025 11:08:28 hs. bajo el número RS-155-2025 por PELUSA JUAN.</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Calibri">
    <w:panose1 w:val="020F0502020204030204"/>
    <w:charset w:val="00"/>
    <w:family w:val="swiss"/>
    <w:pitch w:val="variable"/>
    <w:sig w:usb0="E0002EFF" w:usb1="C000247B" w:usb2="00000009" w:usb3="00000000" w:csb0="200001FF"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Default">
    <w:name w:val="Default"/>
    <w:basedOn w:val="[Normal]"/>
    <w:next w:val="Default"/>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color w:val="000000"/>
    </w:rPr>
  </w:style>
  <w:style w:type="paragraph" w:styleId="Normal">
    <w:name w:val="Normal"/>
    <w:next w:val="Normal"/>
    <w:qFormat/>
    <w:pPr>
      <w:widowControl w:val="on"/>
      <w:shd w:val="clear" w:color="auto" w:fill="auto"/>
      <w:spacing w:before="0" w:after="160" w:line="259" w:lineRule="auto"/>
      <w:ind w:left="0" w:right="0" w:firstLine="0"/>
      <w:jc w:val="left"/>
    </w:pPr>
    <w:rPr>
      <w:rFonts w:ascii="Calibri" w:hAnsi="Calibri" w:eastAsia="Calibri" w:cs="Calibri"/>
      <w:b w:val="off"/>
      <w:bCs w:val="off"/>
      <w:i w:val="off"/>
      <w:iCs w:val="off"/>
      <w:strike w:val="off"/>
      <w:color w:val="auto"/>
      <w:position w:val="0"/>
      <w:sz w:val="22"/>
      <w:szCs w:val="22"/>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