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5865-25</w:t>
      </w:r>
      <w:r>
        <w:rPr>
          <w:lang w:val="es-AR" w:eastAsia="es-AR" w:bidi="es-AR"/>
        </w:rPr>
        <w:t xml:space="preserve"> caratulada </w:t>
      </w:r>
      <w:r>
        <w:rPr>
          <w:b/>
          <w:lang w:val="es-AR" w:eastAsia="es-AR" w:bidi="es-AR"/>
        </w:rPr>
        <w:t xml:space="preserve">"</w:t>
      </w:r>
      <w:r>
        <w:rPr>
          <w:b/>
          <w:color w:val="000000"/>
          <w:lang w:val="es-AR" w:eastAsia="es-AR" w:bidi="es-AR"/>
        </w:rPr>
        <w:t xml:space="preserve">G., V. S. C/ Q. , A. M. S/INCIDENTE DE ALIMENTOS</w:t>
      </w:r>
      <w:r>
        <w:rPr>
          <w:b/>
          <w:lang w:val="es-AR" w:eastAsia="es-AR" w:bidi="es-AR"/>
        </w:rPr>
        <w:t xml:space="preserve">"</w:t>
      </w:r>
      <w:r>
        <w:rPr>
          <w:color w:val="000000"/>
          <w:lang w:val="es-AR" w:eastAsia="es-AR" w:bidi="es-AR"/>
        </w:rPr>
        <w:t xml:space="preserve">,</w:t>
      </w:r>
      <w:r>
        <w:rPr>
          <w:lang w:val="es-AR" w:eastAsia="es-AR" w:bidi="es-AR"/>
        </w:rPr>
        <w:t xml:space="preserve"> Expte. </w:t>
      </w:r>
      <w:r>
        <w:rPr>
          <w:color w:val="000000"/>
          <w:lang w:val="es-AR" w:eastAsia="es-AR" w:bidi="es-AR"/>
        </w:rPr>
        <w:t xml:space="preserve">46.810</w:t>
      </w:r>
      <w:r>
        <w:rPr>
          <w:color w:val="000000"/>
          <w:lang w:val="es-AR" w:eastAsia="es-AR" w:bidi="es-AR"/>
        </w:rPr>
        <w:t xml:space="preserve"> </w:t>
      </w:r>
      <w:r>
        <w:rPr>
          <w:lang w:val="es-AR" w:eastAsia="es-AR" w:bidi="es-AR"/>
        </w:rPr>
        <w:t xml:space="preserve">del Juzgado de Paz de Colón,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anterior instancia hizo parcialmente lugar a la demanda de aumento de cuota alimentaria incoada por la Sra. V. S. G., contra el Sr. A. M. Q.. Condenó al Sr. A. M. Q. a abonar como nueva obligación alimentaria  la suma que resulte del cuarenta por ciento (40%) de los haberes Brutos menos deducciones de ley que percibe más la obra social y coseguro de UPCN hasta el día 3/4/2026 inclusive. Luego de cumplido los 21 años por el hijo A., el 4/4/2026, la cuota para la hija e hijo menor de edad ascenderá, al Treinta y cinco (35%) de los haberes brutos menos deducciones de ley que perciba el demandado más la obra social y co seguro de UPCN. El salario familiar es percibido por la actora. Toda suma y/o ayuda y/o subsidio que se abone y/u otorgue para la y los menores de edad será percibida por la actora. Dicha cuota deberá ser abonada de la misma forma que la modificada, ello es mediante retención judicial por parte de la empleadora y posterior deposito en cuenta judicial  y la del mes en curso dentro de los 10 días de notificada la presente bajo apercibimiento de ejecución. Aplicó  las  costas a la parte demandada que resulta vencida (Art. 68 C.P.C.). Los honorarios de la Defensora y Asesora Ad Hoc se realizan en resolución aparte. Difirió la determinación de la cuota de alimentos suplementaria hasta tanto obre liquidación firme practicada por la parte interesada. Téngase presente lo prescripto por el art. 663 del C.C.y C..</w:t>
      </w:r>
    </w:p>
    <w:p>
      <w:pPr>
        <w:pStyle w:val="[Normal]"/>
        <w:spacing w:line="360" w:lineRule="auto"/>
        <w:ind w:firstLine="1134"/>
        <w:jc w:val="both"/>
        <w:rPr>
          <w:lang w:val="es-AR" w:eastAsia="es-AR" w:bidi="es-AR"/>
        </w:rPr>
      </w:pPr>
      <w:r>
        <w:rPr>
          <w:lang w:val="es-AR" w:eastAsia="es-AR" w:bidi="es-AR"/>
        </w:rPr>
        <w:t xml:space="preserve">Tal decisorio fue objeto del recurso interpuesto el día 9-5-2025 por el demandado, concedido el 28-5-2025 en relación y con efecto suspensivo no suspensivo y fundado el 2-6-2025. Con fecha 9-6-2025 del mismo traslado a la contraparte y el 4-7-2025 vista a la Sra. Asesora de Incapaces. 11-8-2025 La Sra. Asesora evacuo dicha vista. 14-10-2025 no habiendo la parte actora evacuado el traslado conferido, se le dio por perdido el derecho dejado de usar. Elevados los autos a esta Alzada con fecha 23-10-2025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quejoso contra el decisorio de grado que establece un aumento y fija un porcentaje del 40% sobre los ingresos brutos señalando que comprometen su existencia y asimismo que no se ha realizado un análisis integral de su situación económica, señala que la obligación alimentaria es compartida entre ambos progenitores, denuncia el impacto de ese porcentaje sobre su estabilidad económica aduciendo que la reclamante trabaja y por último la vulneración del principio de congruencia en cuanto el hijo de 20 años ya no convive con la actora, ha formado su propia familia aclarando que respecto de este hijo  su parte no solicitó el cese de la obligación sino que se le entregue al real beneficiario el importe correspondiente y no a su madre.-</w:t>
      </w:r>
    </w:p>
    <w:p>
      <w:pPr>
        <w:pStyle w:val="[Normal]"/>
        <w:spacing w:line="360" w:lineRule="auto"/>
        <w:ind w:firstLine="1134"/>
        <w:jc w:val="both"/>
        <w:rPr>
          <w:lang w:val="es-AR" w:eastAsia="es-AR" w:bidi="es-AR"/>
        </w:rPr>
      </w:pPr>
      <w:r>
        <w:rPr>
          <w:lang w:val="es-AR" w:eastAsia="es-AR" w:bidi="es-AR"/>
        </w:rPr>
        <w:t xml:space="preserve">El traslado ha quedado incontestado por la actora y la Asesora Ad Hoc se ha manifestado en favor de confirmar lo decidido.-</w:t>
      </w:r>
    </w:p>
    <w:p>
      <w:pPr>
        <w:pStyle w:val="[Normal]"/>
        <w:spacing w:line="360" w:lineRule="auto"/>
        <w:ind w:firstLine="1134"/>
        <w:jc w:val="both"/>
        <w:rPr>
          <w:lang w:val="es-AR" w:eastAsia="es-AR" w:bidi="es-AR"/>
        </w:rPr>
      </w:pPr>
      <w:r>
        <w:rPr>
          <w:lang w:val="es-AR" w:eastAsia="es-AR" w:bidi="es-AR"/>
        </w:rPr>
        <w:t xml:space="preserve">Entrando a resolver liminarmente he de señalar que las pautas para determinar el monto de la prestación alimentaria a que tiene derecho el hijo menor de edad parten del sistema de igualdad de padre y madre que establece la normativa fondal incidiendo en ello la situación económica de las partes y las necesidades del beneficiario y asimismo, las contribuciones que el progenitor conviviente realiza en especie a través de la atención que conlleva el cuidado cotidiano del hijo (Confr. esta Cám. causa 735 RSD 11/11 ent. ots.) (arts. 265, 267 y 271 del C.C.; arts. 658, 659 y 660 del actual Cód. Civ. y Com.).-</w:t>
      </w:r>
    </w:p>
    <w:p>
      <w:pPr>
        <w:pStyle w:val="[Normal]"/>
        <w:spacing w:line="360" w:lineRule="auto"/>
        <w:ind w:firstLine="1134"/>
        <w:jc w:val="both"/>
        <w:rPr>
          <w:lang w:val="es-AR" w:eastAsia="es-AR" w:bidi="es-AR"/>
        </w:rPr>
      </w:pPr>
      <w:r>
        <w:rPr>
          <w:lang w:val="es-AR" w:eastAsia="es-AR" w:bidi="es-AR"/>
        </w:rPr>
        <w:t xml:space="preserve">Es decir, corresponde a ambos en proporción de sus respectivos ingresos, debiendo considerarse la contribución del progenitor con quien el hijo reside de manera principal (doctr. art. 650 y ccs. del CCC), pues éste realiza aportes en especie de significación económica.</w:t>
      </w:r>
    </w:p>
    <w:p>
      <w:pPr>
        <w:pStyle w:val="[Normal]"/>
        <w:spacing w:line="360" w:lineRule="auto"/>
        <w:ind w:firstLine="1134"/>
        <w:jc w:val="both"/>
        <w:rPr>
          <w:lang w:val="es-AR" w:eastAsia="es-AR" w:bidi="es-AR"/>
        </w:rPr>
      </w:pPr>
      <w:r>
        <w:rPr>
          <w:lang w:val="es-AR" w:eastAsia="es-AR" w:bidi="es-AR"/>
        </w:rPr>
        <w:t xml:space="preserve">En la especie se trata de tres hijos, nacidos el 4/04/2005 (20 años), el 11/11/2010 (14 años) y el 6/10/2014 (9 años), conforme las partidas de nacimiento adjuntadas a la causa.-</w:t>
      </w:r>
    </w:p>
    <w:p>
      <w:pPr>
        <w:pStyle w:val="[Normal]"/>
        <w:spacing w:line="360" w:lineRule="auto"/>
        <w:ind w:firstLine="1134"/>
        <w:jc w:val="both"/>
        <w:rPr>
          <w:lang w:val="es-AR" w:eastAsia="es-AR" w:bidi="es-AR"/>
        </w:rPr>
      </w:pPr>
      <w:r>
        <w:rPr>
          <w:lang w:val="es-AR" w:eastAsia="es-AR" w:bidi="es-AR"/>
        </w:rPr>
        <w:t xml:space="preserve">Como antecedente  surge que en el mes de setiembre de 2021 se dictó sentencia de alimentos en la Causa Nro 40569 condenándose al demandado a abonar una cuota alimentaria del 35% de los haberes brutos menos deducciones de ley que percibe más la obra social y coseguro de UPCN.-</w:t>
      </w:r>
    </w:p>
    <w:p>
      <w:pPr>
        <w:pStyle w:val="[Normal]"/>
        <w:spacing w:line="360" w:lineRule="auto"/>
        <w:ind w:firstLine="1134"/>
        <w:jc w:val="both"/>
        <w:rPr>
          <w:lang w:val="es-AR" w:eastAsia="es-AR" w:bidi="es-AR"/>
        </w:rPr>
      </w:pPr>
      <w:r>
        <w:rPr>
          <w:lang w:val="es-AR" w:eastAsia="es-AR" w:bidi="es-AR"/>
        </w:rPr>
        <w:t xml:space="preserve">Justamente el presente incidente de aumento de cuota promovido por la actora pretende que dicho porcentaje sea incrementado,  otorgándole la jueza de paz un 40% sobre los conceptos remunerativos, solución que no comparto.-</w:t>
      </w:r>
    </w:p>
    <w:p>
      <w:pPr>
        <w:pStyle w:val="[Normal]"/>
        <w:spacing w:line="360" w:lineRule="auto"/>
        <w:ind w:firstLine="1134"/>
        <w:jc w:val="both"/>
        <w:rPr>
          <w:lang w:val="es-AR" w:eastAsia="es-AR" w:bidi="es-AR"/>
        </w:rPr>
      </w:pPr>
      <w:r>
        <w:rPr>
          <w:lang w:val="es-AR" w:eastAsia="es-AR" w:bidi="es-AR"/>
        </w:rPr>
        <w:t xml:space="preserve">Numerosas razones me llevan a esa decisión.-</w:t>
      </w:r>
    </w:p>
    <w:p>
      <w:pPr>
        <w:pStyle w:val="[Normal]"/>
        <w:spacing w:line="360" w:lineRule="auto"/>
        <w:ind w:firstLine="1134"/>
        <w:jc w:val="both"/>
        <w:rPr>
          <w:lang w:val="es-AR" w:eastAsia="es-AR" w:bidi="es-AR"/>
        </w:rPr>
      </w:pPr>
      <w:r>
        <w:rPr>
          <w:lang w:val="es-AR" w:eastAsia="es-AR" w:bidi="es-AR"/>
        </w:rPr>
        <w:t xml:space="preserve">El establecimiento de un porcentaje sobre los ingresos del alimentante como modo de regular la cuota alimentaria que obra como antecedente, justamente se adoptó en tanto el demandado percibe un ingreso económico regular, y contemplando la ventaja de este mecanismo que radica en el hecho de que provee a los sujetos de la relación alimentaria de una pauta de actualización automática del monto de la cuota, fundada en la vinculación presunta entre la variación del importe de los gastos y del importe del ingreso. Eso evita tramitar sucesivos incidentes de aumento de cuota por la depreciación de la moneda.-</w:t>
      </w:r>
    </w:p>
    <w:p>
      <w:pPr>
        <w:pStyle w:val="[Normal]"/>
        <w:spacing w:line="360" w:lineRule="auto"/>
        <w:ind w:firstLine="1134"/>
        <w:jc w:val="both"/>
        <w:rPr>
          <w:lang w:val="es-AR" w:eastAsia="es-AR" w:bidi="es-AR"/>
        </w:rPr>
      </w:pPr>
      <w:r>
        <w:rPr>
          <w:lang w:val="es-AR" w:eastAsia="es-AR" w:bidi="es-AR"/>
        </w:rPr>
        <w:t xml:space="preserve">En la especie, el caudal de ingreso del accionado permanece estable y las necesidades de los alimentados que se fundan en la mayor edad, aumento de costo de vida se ven contemplados por las variaciones del salario que también se han incrementado.-</w:t>
      </w:r>
    </w:p>
    <w:p>
      <w:pPr>
        <w:pStyle w:val="[Normal]"/>
        <w:spacing w:line="360" w:lineRule="auto"/>
        <w:ind w:firstLine="1134"/>
        <w:jc w:val="both"/>
        <w:rPr>
          <w:lang w:val="es-AR" w:eastAsia="es-AR" w:bidi="es-AR"/>
        </w:rPr>
      </w:pPr>
      <w:r>
        <w:rPr>
          <w:lang w:val="es-AR" w:eastAsia="es-AR" w:bidi="es-AR"/>
        </w:rPr>
        <w:t xml:space="preserve">Tampoco se ha acreditado que la fortuna del alimentante haya cambiado, que tenga otros ingresos o haya recibido bienes de terceros,  puesto que con el oficio remitido por el Municipio de Colón queda acreditado que continúa como agente municipal y que en los recibos de sueldo se verifica que  cumple con las retenciones ordenadas, informándose que en los períodos correspondientes a abril de 2024 a setiembre de 2024 percibía la suma bruta menos deducciones -promedio- de $351.790,43 y que la cuota de alimentos retenida ascendió al importe promedio de $280.143,74 a esas fechas.-</w:t>
      </w:r>
    </w:p>
    <w:p>
      <w:pPr>
        <w:pStyle w:val="[Normal]"/>
        <w:spacing w:line="360" w:lineRule="auto"/>
        <w:ind w:firstLine="1134"/>
        <w:jc w:val="both"/>
        <w:rPr>
          <w:lang w:val="es-AR" w:eastAsia="es-AR" w:bidi="es-AR"/>
        </w:rPr>
      </w:pPr>
      <w:r>
        <w:rPr>
          <w:lang w:val="es-AR" w:eastAsia="es-AR" w:bidi="es-AR"/>
        </w:rPr>
        <w:t xml:space="preserve">O sea su calidad de empleado del Municipio permanece inalterable y la variación de sus salarios ha incidido también en el incremento de la cuota que ha ido reteniéndose, sin que se verifique un aumento de fortuna del accionado. Ni probado otros ingresos patrimoniales.-</w:t>
      </w:r>
    </w:p>
    <w:p>
      <w:pPr>
        <w:pStyle w:val="[Normal]"/>
        <w:spacing w:line="360" w:lineRule="auto"/>
        <w:ind w:firstLine="1134"/>
        <w:jc w:val="both"/>
        <w:rPr>
          <w:lang w:val="es-AR" w:eastAsia="es-AR" w:bidi="es-AR"/>
        </w:rPr>
      </w:pPr>
      <w:r>
        <w:rPr>
          <w:lang w:val="es-AR" w:eastAsia="es-AR" w:bidi="es-AR"/>
        </w:rPr>
        <w:t xml:space="preserve">También puntualizo que sigue alquilando una vivienda o al menos no se probó que haya adquirido algún inmueble.-</w:t>
      </w:r>
    </w:p>
    <w:p>
      <w:pPr>
        <w:pStyle w:val="[Normal]"/>
        <w:spacing w:line="360" w:lineRule="auto"/>
        <w:ind w:firstLine="1134"/>
        <w:jc w:val="both"/>
        <w:rPr>
          <w:lang w:val="es-AR" w:eastAsia="es-AR" w:bidi="es-AR"/>
        </w:rPr>
      </w:pPr>
      <w:r>
        <w:rPr>
          <w:lang w:val="es-AR" w:eastAsia="es-AR" w:bidi="es-AR"/>
        </w:rPr>
        <w:t xml:space="preserve">Respecto del hijo mayor nacido el 4/04/2005 no ha pedido el cese de los alimentos como lo menciona la actora sino que lo perciba en forma directa el hijo. Más esas cuestiones en su caso, deberán ser tramitadas por el incidente de cese respectivo si el alimentante así lo considera. Es más, del informe ambiental la propia actora ha reconocido que ese hijo no reside en su casa sino que vive en otra casa con su novia (socio ambiental de fecha 24/12/2024).-</w:t>
      </w:r>
    </w:p>
    <w:p>
      <w:pPr>
        <w:pStyle w:val="[Normal]"/>
        <w:spacing w:line="360" w:lineRule="auto"/>
        <w:ind w:firstLine="1134"/>
        <w:jc w:val="both"/>
        <w:rPr>
          <w:lang w:val="es-AR" w:eastAsia="es-AR" w:bidi="es-AR"/>
        </w:rPr>
      </w:pPr>
      <w:r>
        <w:rPr>
          <w:lang w:val="es-AR" w:eastAsia="es-AR" w:bidi="es-AR"/>
        </w:rPr>
        <w:t xml:space="preserve">Del análisis realizado propicio atender la apelación deducida por el demandado fijando el porcentaje de retención en el 35% y no el 40% dado por la jueza de Paz letrada de Colón.-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por el accionado y en consecuencia modificar el incremento de cuota decidido en primera instancia  fijando desde aquí el porcentaje que deberá abonar en el 35% de los ingresos brutos menos deducciones de ley que percibe como empleado de la Municipalidad de Colón con más la obra social y coseguro de UPCN, dejando sin efecto la fecha tope establecida en el resolutorio de grado.-</w:t>
      </w:r>
    </w:p>
    <w:p>
      <w:pPr>
        <w:pStyle w:val="[Normal]"/>
        <w:spacing w:line="360" w:lineRule="auto"/>
        <w:ind w:firstLine="1134"/>
        <w:jc w:val="both"/>
        <w:rPr>
          <w:lang w:val="es-AR" w:eastAsia="es-AR" w:bidi="es-AR"/>
        </w:rPr>
      </w:pPr>
      <w:r>
        <w:rPr>
          <w:lang w:val="es-AR" w:eastAsia="es-AR" w:bidi="es-AR"/>
        </w:rPr>
        <w:t xml:space="preserve">Confirmar en todo lo demás la sentencia apelada.-</w:t>
      </w:r>
    </w:p>
    <w:p>
      <w:pPr>
        <w:pStyle w:val="[Normal]"/>
        <w:spacing w:line="360" w:lineRule="auto"/>
        <w:ind w:firstLine="1134"/>
        <w:jc w:val="both"/>
        <w:rPr>
          <w:lang w:val="es-AR" w:eastAsia="es-AR" w:bidi="es-AR"/>
        </w:rPr>
      </w:pPr>
      <w:r>
        <w:rPr>
          <w:lang w:val="es-AR" w:eastAsia="es-AR" w:bidi="es-AR"/>
        </w:rPr>
        <w:t xml:space="preserve">Imponer las costas de Alzada por su orden, conforme fuera resuelta la cuestión y atendiendo a la naturaleza de la pretensión (art. 68/69 del CPCC y su doctrina).-</w:t>
      </w:r>
    </w:p>
    <w:p>
      <w:pPr>
        <w:pStyle w:val="[Normal]"/>
        <w:spacing w:line="360" w:lineRule="auto"/>
        <w:ind w:firstLine="1134"/>
        <w:jc w:val="both"/>
        <w:rPr>
          <w:lang w:val="es-AR" w:eastAsia="es-AR" w:bidi="es-AR"/>
        </w:rPr>
      </w:pPr>
      <w:r>
        <w:rPr>
          <w:lang w:val="es-AR" w:eastAsia="es-AR" w:bidi="es-AR"/>
        </w:rPr>
        <w:t xml:space="preserve">Diferir la regulación hasta tanto obre la de primera instancia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al recurso de apelación deducido por el accionado y en consecuencia modificar el incremento de cuota decidido en primera instancia  fijando desde aquí el porcentaje que deberá abonar en el 35% de los ingresos brutos menos deducciones de ley que percibe como empleado de la Municipalidad de Colón con más la obra social y coseguro de UPCN, dejando sin efecto la fecha tope establecida en el resolutorio de grado.-</w:t>
      </w:r>
    </w:p>
    <w:p>
      <w:pPr>
        <w:pStyle w:val="[Normal]"/>
        <w:spacing w:line="360" w:lineRule="auto"/>
        <w:ind w:firstLine="1134"/>
        <w:jc w:val="both"/>
        <w:rPr>
          <w:lang w:val="es-AR" w:eastAsia="es-AR" w:bidi="es-AR"/>
        </w:rPr>
      </w:pPr>
      <w:r>
        <w:rPr>
          <w:lang w:val="es-AR" w:eastAsia="es-AR" w:bidi="es-AR"/>
        </w:rPr>
        <w:t xml:space="preserve">Confirmar en todo lo demás la sentencia apelada.-</w:t>
      </w:r>
    </w:p>
    <w:p>
      <w:pPr>
        <w:pStyle w:val="[Normal]"/>
        <w:spacing w:line="360" w:lineRule="auto"/>
        <w:ind w:firstLine="1134"/>
        <w:jc w:val="both"/>
        <w:rPr>
          <w:lang w:val="es-AR" w:eastAsia="es-AR" w:bidi="es-AR"/>
        </w:rPr>
      </w:pPr>
      <w:r>
        <w:rPr>
          <w:lang w:val="es-AR" w:eastAsia="es-AR" w:bidi="es-AR"/>
        </w:rPr>
        <w:t xml:space="preserve">Imponer las costas de Alzada por su orden, conforme fuera resuelta la cuestión y atendiendo a la naturaleza de la pretensión (art. 68/69 del CPCC y su doctrina).-</w:t>
      </w:r>
    </w:p>
    <w:p>
      <w:pPr>
        <w:pStyle w:val="[Normal]"/>
        <w:spacing w:line="360" w:lineRule="auto"/>
        <w:ind w:firstLine="1134"/>
        <w:jc w:val="both"/>
        <w:rPr>
          <w:lang w:val="es-AR" w:eastAsia="es-AR" w:bidi="es-AR"/>
        </w:rPr>
      </w:pPr>
      <w:r>
        <w:rPr>
          <w:lang w:val="es-AR" w:eastAsia="es-AR" w:bidi="es-AR"/>
        </w:rPr>
        <w:t xml:space="preserve">Diferir la regulación hasta tanto obre la de primera instancia (art.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20220776515@NOTIFICACIONES.SCBA.GOV.AR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27273799287@NOTIFICACIONES.SCBA.GOV.AR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27371866316@NOTIFICACIONES.SCBA.GOV.AR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10:20:21 -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11:02:03 -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18/11/2025 11:51:07 -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‰9}")è&amp;iÂ‚{Š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259302090006739798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18/11/2025 11:51:20 hs. bajo el número RS-165-2025 por PE\melustondo.</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