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5804-25</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SATUF DEBORA ELIANA S/ COBRO EJECUTIVO</w:t>
      </w:r>
      <w:r>
        <w:rPr>
          <w:b/>
          <w:lang w:val="es-AR" w:eastAsia="es-AR" w:bidi="es-AR"/>
        </w:rPr>
        <w:t xml:space="preserve">"</w:t>
      </w:r>
      <w:r>
        <w:rPr>
          <w:lang w:val="es-AR" w:eastAsia="es-AR" w:bidi="es-AR"/>
        </w:rPr>
        <w:t xml:space="preserve">, Expte. N° 66543 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b/>
          <w:lang w:val="es-AR" w:eastAsia="es-AR" w:bidi="es-AR"/>
        </w:rPr>
      </w:pPr>
      <w:r>
        <w:rPr>
          <w:lang w:val="es-AR" w:eastAsia="es-AR" w:bidi="es-AR"/>
        </w:rPr>
        <w:t xml:space="preserve">El a-quo rechazó la liquidación efectuada por la ejecutante y la aprobó en la suma total de PESOS TRES MILLONES CUARENTA Y UN MIL DOSCIENTOS OCHENTA Y CUATRO C/ 15/100 ($3.041.284,15); en concepto de: capital PESOS OCHOCIENTOS VEINTICUATRO MIL NOVECIENTOS DIECINUEVE C/ 23/100 ($824.919,23) e intereses PESOS DOS MILLONES DOSCIENTOS DIECISÉIS MIL TRESCIENTOS SESENTA Y CUATRO C/ 92/100 ($2.216.364,92). Asimismo, reguló los honorarios de los letrados intervinientes por las tareas realizadas en la causa.</w:t>
      </w:r>
    </w:p>
    <w:p>
      <w:pPr>
        <w:pStyle w:val="[Normal]"/>
        <w:spacing w:line="360" w:lineRule="auto"/>
        <w:ind w:firstLine="1134"/>
        <w:jc w:val="both"/>
        <w:rPr>
          <w:b/>
          <w:color w:val="000000"/>
          <w:lang w:val="es-AR" w:eastAsia="es-AR" w:bidi="es-AR"/>
        </w:rPr>
      </w:pPr>
      <w:r>
        <w:rPr>
          <w:lang w:val="es-AR" w:eastAsia="es-AR" w:bidi="es-AR"/>
        </w:rPr>
        <w:t xml:space="preserve">Dicho pronunciamiento es apelado el 14/7/25 por la actora, recurso que fuera </w:t>
      </w:r>
      <w:r>
        <w:rPr>
          <w:color w:val="000000"/>
          <w:lang w:val="es-AR" w:eastAsia="es-AR" w:bidi="es-AR"/>
        </w:rPr>
        <w:t xml:space="preserve">concedido en relación en fecha 18/7/25, y fundado en el mismo momento de su interposición, no habiendo la ejecutada contestado la vista conferida.</w:t>
      </w:r>
    </w:p>
    <w:p>
      <w:pPr>
        <w:pStyle w:val="[Normal]"/>
        <w:spacing w:line="360" w:lineRule="auto"/>
        <w:ind w:firstLine="1134"/>
        <w:jc w:val="both"/>
        <w:rPr>
          <w:lang w:val="es-AR" w:eastAsia="es-AR" w:bidi="es-AR"/>
        </w:rPr>
      </w:pPr>
      <w:r>
        <w:rPr>
          <w:lang w:val="es-AR" w:eastAsia="es-AR" w:bidi="es-AR"/>
        </w:rPr>
        <w:t xml:space="preserve">Ingresados los autos a ésta Alzada, con fecha 9/9/25 se dicta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apelante cuestiona la liquidación judicial aprobada por el juez de grado, por morigerar los intereses pactados en los contratos ejecutados, aplicando una tasa genérica basada en 1,5 veces la tasa activa del Banco Provincia, en lugar de respetar las tasas estipuladas en cada contrato y sin explicación de los supuestos errores señalados.</w:t>
      </w:r>
    </w:p>
    <w:p>
      <w:pPr>
        <w:pStyle w:val="[Normal]"/>
        <w:spacing w:line="360" w:lineRule="auto"/>
        <w:ind w:firstLine="1134"/>
        <w:jc w:val="both"/>
        <w:rPr>
          <w:lang w:val="es-AR" w:eastAsia="es-AR" w:bidi="es-AR"/>
        </w:rPr>
      </w:pPr>
      <w:r>
        <w:rPr>
          <w:lang w:val="es-AR" w:eastAsia="es-AR" w:bidi="es-AR"/>
        </w:rPr>
        <w:t xml:space="preserve">Resalta que los contratos involucrados son heterogéneos, correspondiendo por una parte a tarjeta de crédito, regulada por la Ley 25.065 y normas generales del CCCN, con tasa compensatoria fija del 50% y sin capitalización, y por otra parte a un contrato de mutuo, con capital y tasas distintas, regido por el CCCN y su normativa específica, señalando que la liquidación judicial no respetó esta diferenciación ni las tasas particulares de cada contrato.</w:t>
      </w:r>
    </w:p>
    <w:p>
      <w:pPr>
        <w:pStyle w:val="[Normal]"/>
        <w:spacing w:line="360" w:lineRule="auto"/>
        <w:ind w:firstLine="1134"/>
        <w:jc w:val="both"/>
        <w:rPr>
          <w:lang w:val="es-AR" w:eastAsia="es-AR" w:bidi="es-AR"/>
        </w:rPr>
      </w:pPr>
      <w:r>
        <w:rPr>
          <w:lang w:val="es-AR" w:eastAsia="es-AR" w:bidi="es-AR"/>
        </w:rPr>
        <w:t xml:space="preserve">Afirma que los contratos fueron válidamente celebrados entre partes capaces, sin que se acredite abusividad ni desequilibrio manifiesto, resultando la reducción judicial de intereses contraria al principio de autonomía de la voluntad y pacta sunt servanda, conforme a los arts. 958, 961 y 765 del CCCN.</w:t>
      </w:r>
    </w:p>
    <w:p>
      <w:pPr>
        <w:pStyle w:val="[Normal]"/>
        <w:spacing w:line="360" w:lineRule="auto"/>
        <w:ind w:firstLine="1134"/>
        <w:jc w:val="both"/>
        <w:rPr>
          <w:lang w:val="es-AR" w:eastAsia="es-AR" w:bidi="es-AR"/>
        </w:rPr>
      </w:pPr>
      <w:r>
        <w:rPr>
          <w:lang w:val="es-AR" w:eastAsia="es-AR" w:bidi="es-AR"/>
        </w:rPr>
        <w:t xml:space="preserve">Expresa que el art. 768 del CCCN establece una prelación normativa para la aplicación de tasas de interés: a) tasa pactada contractualmente; b) tasa legal especial; c) tasa fijada por el BCRA, en subsidio; habiéndose ignorado esta jerarquía en la liquidación judicial, aplicándose un criterio uniforme que distorsiona los acuerdos contractuales.</w:t>
      </w:r>
    </w:p>
    <w:p>
      <w:pPr>
        <w:pStyle w:val="[Normal]"/>
        <w:spacing w:line="360" w:lineRule="auto"/>
        <w:ind w:firstLine="1134"/>
        <w:jc w:val="both"/>
        <w:rPr>
          <w:lang w:val="es-AR" w:eastAsia="es-AR" w:bidi="es-AR"/>
        </w:rPr>
      </w:pPr>
      <w:r>
        <w:rPr>
          <w:lang w:val="es-AR" w:eastAsia="es-AR" w:bidi="es-AR"/>
        </w:rPr>
        <w:t xml:space="preserve">Sostiene que la liquidación judicial omitió la capitalización semestral prevista en los contratos y alteró la estructura financiera del crédito, generando un perjuicio económico aproximado de $300.000, mientras que la liquidación confeccionada por la parte actora detalla capital, intereses moratorios y punitorios de cada producto, respetando la periodicidad y método de cálculo contractual, conforme a la sentencia firme dictada en autos.</w:t>
      </w:r>
    </w:p>
    <w:p>
      <w:pPr>
        <w:pStyle w:val="[Normal]"/>
        <w:spacing w:line="360" w:lineRule="auto"/>
        <w:ind w:firstLine="1134"/>
        <w:jc w:val="both"/>
        <w:rPr>
          <w:lang w:val="es-AR" w:eastAsia="es-AR" w:bidi="es-AR"/>
        </w:rPr>
      </w:pPr>
      <w:r>
        <w:rPr>
          <w:lang w:val="es-AR" w:eastAsia="es-AR" w:bidi="es-AR"/>
        </w:rPr>
        <w:t xml:space="preserve">Invoca que la reducción de intereses dispuesta por el a-quo impacta negativamente en el valor real del crédito, desincentiva el cumplimiento contractual y erosiona la seguridad jurídica y el equilibrio del sistema de riesgo asumido por el acreedor.</w:t>
      </w:r>
    </w:p>
    <w:p>
      <w:pPr>
        <w:pStyle w:val="[Normal]"/>
        <w:spacing w:line="360" w:lineRule="auto"/>
        <w:ind w:firstLine="1134"/>
        <w:jc w:val="both"/>
        <w:rPr>
          <w:lang w:val="es-AR" w:eastAsia="es-AR" w:bidi="es-AR"/>
        </w:rPr>
      </w:pPr>
      <w:r>
        <w:rPr>
          <w:lang w:val="es-AR" w:eastAsia="es-AR" w:bidi="es-AR"/>
        </w:rPr>
        <w:t xml:space="preserve">Refiere que la doctrina y jurisprudencia aplicables sostienen que la tasa pactada debe respetarse, limitando la facultad judicial de morigerar intereses a supuestos de abusividad o desequilibrio, con criterios de razonabilidad y análisis concreto del caso.</w:t>
      </w:r>
    </w:p>
    <w:p>
      <w:pPr>
        <w:pStyle w:val="[Normal]"/>
        <w:spacing w:line="360" w:lineRule="auto"/>
        <w:ind w:firstLine="1134"/>
        <w:jc w:val="both"/>
        <w:rPr>
          <w:lang w:val="es-AR" w:eastAsia="es-AR" w:bidi="es-AR"/>
        </w:rPr>
      </w:pPr>
      <w:r>
        <w:rPr>
          <w:lang w:val="es-AR" w:eastAsia="es-AR" w:bidi="es-AR"/>
        </w:rPr>
        <w:t xml:space="preserve">En consecuencia, solicita el rechazo de la liquidación judicial practicada, Y la aprobación de la liquidación confeccionada por su parte, como así también la readecuación de la regulación de honorarios conforme al monto legítimo y pactado.</w:t>
      </w:r>
    </w:p>
    <w:p>
      <w:pPr>
        <w:pStyle w:val="[Normal]"/>
        <w:spacing w:line="360" w:lineRule="auto"/>
        <w:ind w:firstLine="1134"/>
        <w:jc w:val="both"/>
        <w:rPr>
          <w:lang w:val="es-AR" w:eastAsia="es-AR" w:bidi="es-AR"/>
        </w:rPr>
      </w:pPr>
      <w:r>
        <w:rPr>
          <w:lang w:val="es-AR" w:eastAsia="es-AR" w:bidi="es-AR"/>
        </w:rPr>
        <w:t xml:space="preserve">Liminarmente, he de recordar que cuando existe acuerdo de partes con relación al cómputo de intereses, cabe aplicar éste (arts. 958, 1003, 1004 y ccs. del CCyC) (conf. CAP causa N° 2921 del 31-8-2017 Reg. N° 11/2017).</w:t>
      </w:r>
    </w:p>
    <w:p>
      <w:pPr>
        <w:pStyle w:val="[Normal]"/>
        <w:spacing w:line="360" w:lineRule="auto"/>
        <w:ind w:firstLine="1134"/>
        <w:jc w:val="both"/>
        <w:rPr>
          <w:lang w:val="es-AR" w:eastAsia="es-AR" w:bidi="es-AR"/>
        </w:rPr>
      </w:pPr>
      <w:r>
        <w:rPr>
          <w:lang w:val="es-AR" w:eastAsia="es-AR" w:bidi="es-AR"/>
        </w:rPr>
        <w:t xml:space="preserve">Sin perjuicio de lo anterior, el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w:t>
      </w:r>
    </w:p>
    <w:p>
      <w:pPr>
        <w:pStyle w:val="[Normal]"/>
        <w:spacing w:line="360" w:lineRule="auto"/>
        <w:ind w:firstLine="1134"/>
        <w:jc w:val="both"/>
        <w:rPr>
          <w:lang w:val="es-AR" w:eastAsia="es-AR" w:bidi="es-AR"/>
        </w:rPr>
      </w:pPr>
      <w:r>
        <w:rPr>
          <w:lang w:val="es-AR" w:eastAsia="es-AR" w:bidi="es-AR"/>
        </w:rPr>
        <w:t xml:space="preserve">En ese contexto, las facultades judiciales morigeradoras de los intereses pactados proceden de hallarse comprobada una práctica abusiva, usuraria o confiscatoria (arg. arts. 21, 953, 954 y 1071, Cód. Civ. y, en su caso, lo normado por el art. 37 de la ley 24.240).  La obligación del deudor, se ha dicho, no puede exceder el crédito actualizado con un interés que trascienda los límites de la moral y las buenas costumbres (Fallos: 318:1345, 320:158 y 327:1881; 330:5306) (conf. SCBA LP C 102009 S 18/06/2014 Juez SORIA (MA) I JUBA B33376).</w:t>
      </w:r>
    </w:p>
    <w:p>
      <w:pPr>
        <w:pStyle w:val="[Normal]"/>
        <w:spacing w:line="360" w:lineRule="auto"/>
        <w:ind w:firstLine="1134"/>
        <w:jc w:val="both"/>
        <w:rPr>
          <w:b/>
          <w:lang w:val="es-AR" w:eastAsia="es-AR" w:bidi="es-AR"/>
        </w:rPr>
      </w:pPr>
      <w:r>
        <w:rPr>
          <w:lang w:val="es-AR" w:eastAsia="es-AR" w:bidi="es-AR"/>
        </w:rPr>
        <w:t xml:space="preserve">Ello así, se advierte de las constancias habida en la causa que en la sentencia de fecha 23/11/23 se resolvió llevar adelante la ejecución haciendo "</w:t>
      </w:r>
      <w:r>
        <w:rPr>
          <w:i/>
          <w:lang w:val="es-AR" w:eastAsia="es-AR" w:bidi="es-AR"/>
        </w:rPr>
        <w:t xml:space="preserve">íntegro pago del capital reclamado ...,</w:t>
      </w:r>
      <w:r>
        <w:rPr>
          <w:b/>
          <w:i/>
          <w:lang w:val="es-AR" w:eastAsia="es-AR" w:bidi="es-AR"/>
        </w:rPr>
        <w:t xml:space="preserve"> </w:t>
      </w:r>
      <w:r>
        <w:rPr>
          <w:i/>
          <w:color w:val="000000"/>
          <w:lang w:val="es-AR" w:eastAsia="es-AR" w:bidi="es-AR"/>
        </w:rPr>
        <w:t xml:space="preserve">con más los intereses liquidados en la forma pactada, desde el día de la mora ..., con la salvedad de que se evaluará si los mismos son excesivos y contrarios a la moral y buenas costumbres, en el momento procesal de examinar la liquidación, teniendo en cuenta lo que disponen los arts. 10, 279, 771, 794 y ccs. del Código Civil y Comercial"</w:t>
      </w:r>
      <w:r>
        <w:rPr>
          <w:i/>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Firme tal resolución, la ejecutante practicó liquidación en la presentación electrónica de fecha 9/6/25. </w:t>
      </w:r>
    </w:p>
    <w:p>
      <w:pPr>
        <w:pStyle w:val="[Normal]"/>
        <w:spacing w:line="360" w:lineRule="auto"/>
        <w:ind w:firstLine="1134"/>
        <w:jc w:val="both"/>
        <w:rPr>
          <w:lang w:val="es-AR" w:eastAsia="es-AR" w:bidi="es-AR"/>
        </w:rPr>
      </w:pPr>
      <w:r>
        <w:rPr>
          <w:lang w:val="es-AR" w:eastAsia="es-AR" w:bidi="es-AR"/>
        </w:rPr>
        <w:t xml:space="preserve">El juez de grado al tratar la misma, resolvió -a mi modo de ver criteriosamente- aplicar la morigeración, haciendo uso de las facultades reconocidas en el código fondal, y rechazó el monto de interés que arroja la liquidación de acuerdo a los índices pactados en los contratos de emisión de tarjeta de crédito y en el contrato de mutuo, modificándolos a una vez y media la tasa que percibe el Banco Provincia de Bs. As. (tasa activa).</w:t>
      </w:r>
    </w:p>
    <w:p>
      <w:pPr>
        <w:pStyle w:val="[Normal]"/>
        <w:spacing w:line="360" w:lineRule="auto"/>
        <w:ind w:firstLine="1134"/>
        <w:jc w:val="both"/>
        <w:rPr>
          <w:lang w:val="es-AR" w:eastAsia="es-AR" w:bidi="es-AR"/>
        </w:rPr>
      </w:pPr>
      <w:r>
        <w:rPr>
          <w:lang w:val="es-AR" w:eastAsia="es-AR" w:bidi="es-AR"/>
        </w:rPr>
        <w:t xml:space="preserve">He de resaltar que de accederse a la pretensión actoral los intereses sobre el monto de capital de cada uno de los productos -$321.757,62 tarjeta Mastercard, $282.035,08 tarjeta Visa, $267.841,95 mutuo-, conforme la liquidación y aplicando los índices pactados en los contratos de referencia, ascenderían a PESOS UN MILLÓN TRESCIENTOS NOVENTA Y UN MIL SEISCIENTOS OCHENTA Y DOS C/ 15/100 ($1.391.682,15), PESOS UN MILLÓN CIENTO CINCUENTA Y SIETE MIL NOVECIENTOS DOS C/ 78/100 ($1.157.902,78) y PESOS SETECIENTOS SETENTA Y SEIS MIL SETECIENTOS NOVENTA Y UN C/ 4/100 ($776.791,04), lo que representaría capitales que en dos años y medio superarían los 430%, 400% y 290% de interés total, respectivamente -ver presentación del 9/6/25-. En tal contexto, es evidente que el cálculo pretendido por la ejecutante arroja un resultado desproporcionado y usurario que excede el costo medio del dinero como así también la limitación legal establecida en los arts. 16 y 18 de la ley 25.065, por lo tanto, aparece ajustada a derecho la morigeración ordenada por el a-quo pues resguarda adecuadamente el derecho de propiedad de ambas partes (art. 17 CN).</w:t>
      </w:r>
    </w:p>
    <w:p>
      <w:pPr>
        <w:pStyle w:val="[Normal]"/>
        <w:spacing w:line="360" w:lineRule="auto"/>
        <w:ind w:firstLine="1134"/>
        <w:jc w:val="both"/>
        <w:rPr>
          <w:lang w:val="es-AR" w:eastAsia="es-AR" w:bidi="es-AR"/>
        </w:rPr>
      </w:pPr>
      <w:r>
        <w:rPr>
          <w:lang w:val="es-AR" w:eastAsia="es-AR" w:bidi="es-AR"/>
        </w:rPr>
        <w:t xml:space="preserve">Sobre el particular, se ha dicho que </w:t>
      </w:r>
      <w:r>
        <w:rPr>
          <w:i/>
          <w:lang w:val="es-AR" w:eastAsia="es-AR" w:bidi="es-AR"/>
        </w:rPr>
        <w:t xml:space="preserve">"..Tratándose del cobro del importe emergente del saldo deudor del uso de tarjeta de crédito, corresponde estar al límite máximo que viene estipulado desde los arts. 16 y 18 de la ley 25.065 de tarjeta de crédito, lo cual impone coordinar las facultades morigeradoras que la ley le da al Juez para evitar situaciones disvaliosas, con las pautas precisas que la ley 25.065 (de Tarjeta de Crédito) como guía para la relación contractual analizada en este expediente (arts. 1 y 2, C.C.C.N.).  Y en tal inteligencia, entiendo aplicable en la materia -para la deuda que tiene tal naturaleza- lo normado por el art. 16 de la ley de Tarjeta de Crédito 25.065 para el cálculo de los intereses moratorios y compensatorios, al establecer que los mismos no podrán superar en más del 25% la tasa que el emisor aplique a las operaciones de préstamos personales en moneda corriente para clientes.  Por su parte y en lo que toca a los intereses punitorios, en razón de lo normado en el art. 18 de aquella misma ley, éstos no podrán exceder en más del 50% a la tasa efectivamente aplicada por la institución bancaria emisora en concepto de interés compensatorio o financiero, los que no se podrán capitalizar a fin de no superar dicho límite (arts. 16 y 18, ley 25.065; 1, 2, 10, 12, 771 y 794, C.C.C.N.; 1, 2, 3, 36, 52 y 53, ley 24.240)." </w:t>
      </w:r>
      <w:r>
        <w:rPr>
          <w:lang w:val="es-AR" w:eastAsia="es-AR" w:bidi="es-AR"/>
        </w:rPr>
        <w:t xml:space="preserve">(cfr.CC0201 LP 139067 67 S 06/03/2025 Juez SOSA AUBONE (SD) JUBA B259490).</w:t>
      </w:r>
    </w:p>
    <w:p>
      <w:pPr>
        <w:pStyle w:val="[Normal]"/>
        <w:spacing w:line="360" w:lineRule="auto"/>
        <w:ind w:firstLine="1134"/>
        <w:jc w:val="both"/>
        <w:rPr>
          <w:lang w:val="es-AR" w:eastAsia="es-AR" w:bidi="es-AR"/>
        </w:rPr>
      </w:pPr>
      <w:r>
        <w:rPr>
          <w:lang w:val="es-AR" w:eastAsia="es-AR" w:bidi="es-AR"/>
        </w:rPr>
        <w:t xml:space="preserve">Ahora, en relación a la tasa de interés determinada por el operador primero -esto es, una vez y media la tasa activa del Banco Provincia de Buenos Aires-, he de mencionar que la misma se condice con la naturaleza de los contratos celebrados, y se encuentra dentro de los indices establecidos jurisprudencialmente para estos casos (cfr. CAP N° 5645/25, RS 89/25 de fecha 3/7/25, N° 4372/21 RS 150/23 de fecha 19/10/23) Asimismo se acerca más a los limites legales de referencia.</w:t>
      </w:r>
    </w:p>
    <w:p>
      <w:pPr>
        <w:pStyle w:val="[Normal]"/>
        <w:spacing w:line="360" w:lineRule="auto"/>
        <w:ind w:firstLine="1134"/>
        <w:jc w:val="both"/>
        <w:rPr>
          <w:lang w:val="es-AR" w:eastAsia="es-AR" w:bidi="es-AR"/>
        </w:rPr>
      </w:pPr>
      <w:r>
        <w:rPr>
          <w:lang w:val="es-AR" w:eastAsia="es-AR" w:bidi="es-AR"/>
        </w:rPr>
        <w:t xml:space="preserve">Si bien la apelante destaca la distinta naturaleza de los contratos involucrados -dos de tarjeta de crédito y otro de mutuo-, ello no obsta a la aplicación de un criterio uniforme de morigeración, toda vez que en ambos supuestos las tasas pactadas exceden los límites de razonabilidad establecidos por el art. 771 del CCyC y los parámetros legales de los arts. 16 y 18 de la Ley 25.065, justificando la adecuación judicial a un mismo índice prudencial.</w:t>
      </w:r>
    </w:p>
    <w:p>
      <w:pPr>
        <w:pStyle w:val="[Normal]"/>
        <w:spacing w:line="360" w:lineRule="auto"/>
        <w:ind w:firstLine="1134"/>
        <w:jc w:val="both"/>
        <w:rPr>
          <w:b/>
          <w:lang w:val="es-AR" w:eastAsia="es-AR" w:bidi="es-AR"/>
        </w:rPr>
      </w:pPr>
      <w:r>
        <w:rPr>
          <w:lang w:val="es-AR" w:eastAsia="es-AR" w:bidi="es-AR"/>
        </w:rPr>
        <w:t xml:space="preserve">Ahora sin perjuicio de ello, y luego de practicar los cálculos aritméticos pertinentes -se acompañan planillas en formato PDF-, entiendo se debe modificar el monto por el cual fue aprobada la liquidación correspondiente a los contratos de emisión de tarjeta de crédito y en el contrato de mutuo, el cual se fija en la suma total de PESOS TRES MILLONES SESENTA Y CINCO MIL CIENTO CINCUENTA C/ 30/100 ($3.065.150,30); en concepto de: capital PESOS OCHOCIENTOS VEINTICUATRO MIL NOVECIENTOS DIECINUEVE C/ 23/100 ($824.919,23) e intereses PESOS DOS MILLONES DOSCIENTOS CUARENTA MIL DOSCIENTOS TREINTA Y UN C/ 7/100 ($2.240.231,07). Es que los intereses consignados en las planillas acompañadas por el juez de grado a la resolución del 3/7/25 mediante archivo en formato PDF, difieren de los expuestos precedentemente.</w:t>
      </w:r>
    </w:p>
    <w:p>
      <w:pPr>
        <w:pStyle w:val="[Normal]"/>
        <w:spacing w:line="360" w:lineRule="auto"/>
        <w:ind w:firstLine="1134"/>
        <w:jc w:val="both"/>
        <w:rPr>
          <w:lang w:val="es-AR" w:eastAsia="es-AR" w:bidi="es-AR"/>
        </w:rPr>
      </w:pPr>
      <w:r>
        <w:rPr>
          <w:lang w:val="es-AR" w:eastAsia="es-AR" w:bidi="es-AR"/>
        </w:rPr>
        <w:t xml:space="preserve">Resta señalar que, en atención al resultado del presente recurso, deviene improcedente proceder a la readecuación de los honorarios regulados en autos (art. 31 LHP).</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b/>
          <w:lang w:val="es-AR" w:eastAsia="es-AR" w:bidi="es-AR"/>
        </w:rPr>
      </w:pPr>
      <w:r>
        <w:rPr>
          <w:lang w:val="es-AR" w:eastAsia="es-AR" w:bidi="es-AR"/>
        </w:rPr>
        <w:t xml:space="preserve">Rechazar el recurso de apelación interpuesto, confirmándose la sentencia de grado en cuanto a la tasa de interés aplicada, por resultar ajustada a derecho y razonable conforme los arts. 768, 771 y 1740 del CCYCN.</w:t>
      </w:r>
    </w:p>
    <w:p>
      <w:pPr>
        <w:pStyle w:val="[Normal]"/>
        <w:spacing w:line="360" w:lineRule="auto"/>
        <w:ind w:firstLine="1134"/>
        <w:jc w:val="both"/>
        <w:rPr>
          <w:lang w:val="es-AR" w:eastAsia="es-AR" w:bidi="es-AR"/>
        </w:rPr>
      </w:pPr>
      <w:r>
        <w:rPr>
          <w:lang w:val="es-AR" w:eastAsia="es-AR" w:bidi="es-AR"/>
        </w:rPr>
        <w:t xml:space="preserve">Modificar la liquidación aprobada en la instancia de origen, en virtud de haberse verificado errores en la determinación de los intereses devengados respecto de los distintos productos</w:t>
      </w:r>
      <w:r>
        <w:rPr>
          <w:b/>
          <w:lang w:val="es-AR" w:eastAsia="es-AR" w:bidi="es-AR"/>
        </w:rPr>
        <w:t xml:space="preserve">, </w:t>
      </w:r>
      <w:r>
        <w:rPr>
          <w:lang w:val="es-AR" w:eastAsia="es-AR" w:bidi="es-AR"/>
        </w:rPr>
        <w:t xml:space="preserve">fijando el monto de la liquidación en la</w:t>
      </w:r>
      <w:r>
        <w:rPr>
          <w:b/>
          <w:lang w:val="es-AR" w:eastAsia="es-AR" w:bidi="es-AR"/>
        </w:rPr>
        <w:t xml:space="preserve"> </w:t>
      </w:r>
      <w:r>
        <w:rPr>
          <w:lang w:val="es-AR" w:eastAsia="es-AR" w:bidi="es-AR"/>
        </w:rPr>
        <w:t xml:space="preserve">suma total de PESOS TRES MILLONES SESENTA Y CINCO MIL CIENTO CINCUENTA C/ 30/100 ($3.065.150,30); en concepto de: capital PESOS OCHOCIENTOS VEINTICUATRO MIL NOVECIENTOS DIECINUEVE C/ 23/100 ($824.919,23) e intereses PESOS DOS MILLONES DOSCIENTOS CUARENTA MIL DOSCIENTOS TREINTA Y UN C/ 7/100 ($2.240.231,07), conforme surge de los cálculos efectuados por este Tribunal.</w:t>
      </w:r>
    </w:p>
    <w:p>
      <w:pPr>
        <w:pStyle w:val="[Normal]"/>
        <w:spacing w:line="360" w:lineRule="auto"/>
        <w:ind w:firstLine="1134"/>
        <w:jc w:val="both"/>
        <w:rPr>
          <w:lang w:val="es-AR" w:eastAsia="es-AR" w:bidi="es-AR"/>
        </w:rPr>
      </w:pPr>
      <w:r>
        <w:rPr>
          <w:lang w:val="es-AR" w:eastAsia="es-AR" w:bidi="es-AR"/>
        </w:rPr>
        <w:t xml:space="preserve">Costas en el orden causado, por no mediar contienda (art. 68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Rechazar el recurso de apelación interpuesto, confirmándose la sentencia de grado en cuanto a la tasa de interés aplicada, por resultar ajustada a derecho y razonable conforme los arts. 768, 771 y 1740 del CCYCN.</w:t>
      </w:r>
    </w:p>
    <w:p>
      <w:pPr>
        <w:pStyle w:val="[Normal]"/>
        <w:spacing w:line="360" w:lineRule="auto"/>
        <w:ind w:firstLine="1134"/>
        <w:jc w:val="both"/>
        <w:rPr>
          <w:lang w:val="es-AR" w:eastAsia="es-AR" w:bidi="es-AR"/>
        </w:rPr>
      </w:pPr>
      <w:r>
        <w:rPr>
          <w:lang w:val="es-AR" w:eastAsia="es-AR" w:bidi="es-AR"/>
        </w:rPr>
        <w:t xml:space="preserve">Modificar la liquidación aprobada en la instancia de origen, en virtud de haberse verificado errores en la determinación de los intereses devengados respecto de los distintos productos</w:t>
      </w:r>
      <w:r>
        <w:rPr>
          <w:b/>
          <w:lang w:val="es-AR" w:eastAsia="es-AR" w:bidi="es-AR"/>
        </w:rPr>
        <w:t xml:space="preserve">, </w:t>
      </w:r>
      <w:r>
        <w:rPr>
          <w:lang w:val="es-AR" w:eastAsia="es-AR" w:bidi="es-AR"/>
        </w:rPr>
        <w:t xml:space="preserve">fijando el monto de la liquidación en la</w:t>
      </w:r>
      <w:r>
        <w:rPr>
          <w:b/>
          <w:lang w:val="es-AR" w:eastAsia="es-AR" w:bidi="es-AR"/>
        </w:rPr>
        <w:t xml:space="preserve"> </w:t>
      </w:r>
      <w:r>
        <w:rPr>
          <w:lang w:val="es-AR" w:eastAsia="es-AR" w:bidi="es-AR"/>
        </w:rPr>
        <w:t xml:space="preserve">suma total de PESOS TRES MILLONES SESENTA Y CINCO MIL CIENTO CINCUENTA C/ 30/100 ($3.065.150,30); en concepto de: capital PESOS OCHOCIENTOS VEINTICUATRO MIL NOVECIENTOS DIECINUEVE C/ 23/100 ($824.919,23) e intereses PESOS DOS MILLONES DOSCIENTOS CUARENTA MIL DOSCIENTOS TREINTA Y UN C/ 7/100 ($2.240.231,07), conforme surge de los cálculos efectuados por este Tribunal.</w:t>
      </w:r>
    </w:p>
    <w:p>
      <w:pPr>
        <w:pStyle w:val="[Normal]"/>
        <w:spacing w:line="360" w:lineRule="auto"/>
        <w:ind w:firstLine="1134"/>
        <w:jc w:val="both"/>
        <w:rPr>
          <w:lang w:val="es-AR" w:eastAsia="es-AR" w:bidi="es-AR"/>
        </w:rPr>
      </w:pPr>
      <w:r>
        <w:rPr>
          <w:lang w:val="es-AR" w:eastAsia="es-AR" w:bidi="es-AR"/>
        </w:rPr>
        <w:t xml:space="preserve">Costas en el orden causado, por no mediar contienda (art. 68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10:55:50 -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10:55:59 -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25/11/2025 11:22:04 -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‰9t")è&amp;ekÂbŠ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258402090006697597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CONTIENE 3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25/11/2025 11:22:23 hs. bajo el número RS-172-2025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