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5757-25</w:t>
      </w:r>
      <w:r>
        <w:rPr>
          <w:lang w:val="es-AR" w:eastAsia="es-AR" w:bidi="es-AR"/>
        </w:rPr>
        <w:t xml:space="preserve"> caratulada </w:t>
      </w:r>
      <w:r>
        <w:rPr>
          <w:b/>
          <w:lang w:val="es-AR" w:eastAsia="es-AR" w:bidi="es-AR"/>
        </w:rPr>
        <w:t xml:space="preserve">"</w:t>
      </w:r>
      <w:r>
        <w:rPr>
          <w:b/>
          <w:color w:val="000000"/>
          <w:lang w:val="es-AR" w:eastAsia="es-AR" w:bidi="es-AR"/>
        </w:rPr>
        <w:t xml:space="preserve">SOSA BRUNO ABEL C/ COOPERACION MUTUAL PATRONAL SMSG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78.268</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Nº 1 Pergamino</w:t>
      </w:r>
      <w:r>
        <w:rPr>
          <w:lang w:val="es-AR" w:eastAsia="es-AR" w:bidi="es-AR"/>
        </w:rPr>
        <w:t xml:space="preserve">, se practicó el sorteo de ley que determinó que la votación debía efectuarse en el siguiente orden: </w:t>
      </w:r>
      <w:r>
        <w:rPr>
          <w:color w:val="000000"/>
          <w:lang w:val="es-AR" w:eastAsia="es-AR" w:bidi="es-AR"/>
        </w:rPr>
        <w:t xml:space="preserve">Roberto Degleue y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Roberto Degleue </w:t>
      </w:r>
      <w:r>
        <w:rPr>
          <w:lang w:val="es-AR" w:eastAsia="es-AR" w:bidi="es-AR"/>
        </w:rPr>
        <w:t xml:space="preserve">dijo:</w:t>
      </w:r>
    </w:p>
    <w:p>
      <w:pPr>
        <w:pStyle w:val="[Normal]"/>
        <w:spacing w:line="360" w:lineRule="auto"/>
        <w:ind w:firstLine="1134"/>
        <w:jc w:val="both"/>
        <w:rPr>
          <w:lang w:val="es-AR" w:eastAsia="es-AR" w:bidi="es-AR"/>
        </w:rPr>
      </w:pPr>
      <w:r>
        <w:rPr>
          <w:lang w:val="es-AR" w:eastAsia="es-AR" w:bidi="es-AR"/>
        </w:rPr>
        <w:t xml:space="preserve">El juez de la anterior instancia hizo lugar a la demanda instaurada y condenó al Sr. Marcelo Daniel Lepanto, el Sr. Lautaro Eugenio Lepanto  y la citada en garantía Cooperación Mutual Patronal SMSG a abonar al Sr. Bruno Abel Sosa la suma de Siete Millones Seiscientos Veintiocho Mil Pesos ($7.628.000), actualizable según lo dispuesto en el considerando VIII, con más sus respectivos intereses calculados en la forma establecida en el considerando VII, a partir de la fecha del hecho (16-07-2022) y hasta el momento de su efectivo pago. Aplicó las costas a la parte demandada y a la citada en garantía y difirió la regulación de honorarios de los letrados intervinientes y de los peritos hasta tanto medie firme la respectiva liquidación de intereses y gastos.</w:t>
      </w:r>
    </w:p>
    <w:p>
      <w:pPr>
        <w:pStyle w:val="[Normal]"/>
        <w:spacing w:line="360" w:lineRule="auto"/>
        <w:jc w:val="both"/>
        <w:rPr>
          <w:lang w:val="es-AR" w:eastAsia="es-AR" w:bidi="es-AR"/>
        </w:rPr>
      </w:pPr>
      <w:r>
        <w:rPr>
          <w:lang w:val="es-AR" w:eastAsia="es-AR" w:bidi="es-AR"/>
        </w:rPr>
        <w:t xml:space="preserve">	Tal decisorio fue objeto de los recursos de apelación interpuestos por la parte actora el 2-7-2025 y la aseguradora Cooperación Mutual Patronal SMSG el 26-6-2025 , concedidos libremente y en ambos efectos el 15-7-2025 y el 1-7-2025 respectivamente.</w:t>
      </w:r>
    </w:p>
    <w:p>
      <w:pPr>
        <w:pStyle w:val="[Normal]"/>
        <w:spacing w:line="360" w:lineRule="auto"/>
        <w:jc w:val="both"/>
        <w:rPr>
          <w:lang w:val="es-AR" w:eastAsia="es-AR" w:bidi="es-AR"/>
        </w:rPr>
      </w:pPr>
      <w:r>
        <w:rPr>
          <w:lang w:val="es-AR" w:eastAsia="es-AR" w:bidi="es-AR"/>
        </w:rPr>
        <w:t xml:space="preserve">	  </w:t>
      </w:r>
      <w:r>
        <w:rPr>
          <w:color w:val="000000"/>
          <w:lang w:val="es-AR" w:eastAsia="es-AR" w:bidi="es-AR"/>
        </w:rPr>
        <w:t xml:space="preserve">Elevados los autos a esta Alzada con fecha 17-7-2025 se ordenó expresar agravios a la parte actora, quien los fundó el 4-8-2025.  El día 5-8-2025 se ordenó expresar agravios a</w:t>
      </w:r>
      <w:r>
        <w:rPr>
          <w:lang w:val="es-AR" w:eastAsia="es-AR" w:bidi="es-AR"/>
        </w:rPr>
        <w:t xml:space="preserve">l apoderado de la aseguradora citada Cooperación Mutual Patronal SMSG, quien fundó sus agravios el  13-8-2025. Con fecha 19-8-2025 se ordenaron los traslados recíprocos, los cuales fueron evacuados por la actora el 21-8-2025 y la citada en garantía el 25-8-2025. El 2-9-2025 se llamó autos para dictar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A) En sustento de su crítica recursiva la parte actora se agravió de los siguientes puntos: </w:t>
      </w:r>
    </w:p>
    <w:p>
      <w:pPr>
        <w:pStyle w:val="[Normal]"/>
        <w:spacing w:line="360" w:lineRule="auto"/>
        <w:ind w:firstLine="1134"/>
        <w:jc w:val="both"/>
        <w:rPr>
          <w:lang w:val="es-AR" w:eastAsia="es-AR" w:bidi="es-AR"/>
        </w:rPr>
      </w:pPr>
      <w:r>
        <w:rPr>
          <w:lang w:val="es-AR" w:eastAsia="es-AR" w:bidi="es-AR"/>
        </w:rPr>
        <w:t xml:space="preserve">1) Se duele del rechazo decretado en la sentencia en crisis relativo al rubro "incapacidad parcial permanente". Plantea que tal decisión ponderó la pericia médica realizada por la Dra. Marcela Polizzi, la cual manifiesta carente de valor probatorio. Añade que la misma no respondió a los puntos periciales ofrecidos, no realizó estudios técnicos ni fundó sus conclusiones en criterios científicos. Alega que la profesional se limitó a una inspección ocular sin analizar la zona afectada ni determinar tipo o grado de incapacidad, por lo que la sentencia incurre en error al otorgarle plena validez. Agrega que tal negativa no ha contemplado la prueba testimonial de los señores Ismael y Alan Alevato, quienes manifestaron que el actor no volvió a ser el mismo tras el accidente y debió abandonar su oficio de albañil por las secuelas físicas. Solicita, en consecuencia, se reconozca una incapacidad del 10% y se cuantifique el daño en $5.568.000.</w:t>
      </w:r>
    </w:p>
    <w:p>
      <w:pPr>
        <w:pStyle w:val="[Normal]"/>
        <w:spacing w:line="360" w:lineRule="auto"/>
        <w:ind w:firstLine="1134"/>
        <w:jc w:val="both"/>
        <w:rPr>
          <w:lang w:val="es-AR" w:eastAsia="es-AR" w:bidi="es-AR"/>
        </w:rPr>
      </w:pPr>
      <w:r>
        <w:rPr>
          <w:lang w:val="es-AR" w:eastAsia="es-AR" w:bidi="es-AR"/>
        </w:rPr>
        <w:t xml:space="preserve">2) El segundo punto recae sobre el monto determinado en concepto de daño moral. Entiende que la suma asignada ($ 500.000) es exigua. Señala que el juez no valoró la gravedad del siniestro, el impacto emocional derivado de la destrucción casi total del vehículo, ni los padecimientos físicos acreditados. Solicita, por tales razones, que el importe por daño moral se eleve a $6.000.000.-</w:t>
      </w:r>
    </w:p>
    <w:p>
      <w:pPr>
        <w:pStyle w:val="[Normal]"/>
        <w:spacing w:line="360" w:lineRule="auto"/>
        <w:ind w:firstLine="1134"/>
        <w:jc w:val="both"/>
        <w:rPr>
          <w:lang w:val="es-AR" w:eastAsia="es-AR" w:bidi="es-AR"/>
        </w:rPr>
      </w:pPr>
      <w:r>
        <w:rPr>
          <w:lang w:val="es-AR" w:eastAsia="es-AR" w:bidi="es-AR"/>
        </w:rPr>
        <w:t xml:space="preserve">A su turno la citada en garantía cuestiona: 1) la suma de $7.100.000 reconocida para la reparación del vehículo Renault 18, por resultar irrazonable y carente de sustento probatorio. Señala que el presupuesto acompañado es de  $750.000, y que la pericia mecanica arroja un valor de mercado del vehículo oscilante entre $3.000.000 y $3.500.000. Expresa que a pesar de ello el a quo fijó un monto que excede el valor de la unidad, en violación de los arts. 1737, 1738 y 1740 del CCCN, por lo que solicita su reducción conforme a la prueba rendida. 2) En segundo lugar achaca la procedencia del daño moral, alegando que no fue acreditado, ya que no existen secuelas físicas ni pericia psicológica que lo respalde. Sostiene que, tratándose de un hecho que sólo produjo daños materiales, el daño moral no se presume, por lo que corresponde su rechazo o, subsidiariamente, una reducción sustancial del monto. Finalmente, introduce caso federal.</w:t>
      </w:r>
    </w:p>
    <w:p>
      <w:pPr>
        <w:pStyle w:val="[Normal]"/>
        <w:spacing w:line="360" w:lineRule="auto"/>
        <w:ind w:firstLine="992"/>
        <w:jc w:val="both"/>
        <w:rPr>
          <w:lang w:val="es-AR" w:eastAsia="es-AR" w:bidi="es-AR"/>
        </w:rPr>
      </w:pPr>
      <w:r>
        <w:rPr>
          <w:lang w:val="es-AR" w:eastAsia="es-AR" w:bidi="es-AR"/>
        </w:rPr>
        <w:t xml:space="preserve"> En tarea de resolver, cabe señalar que los agravios expuestos por los quejosos versan exclusivamente ciertos rubros indemnizatorios, su procedencia y cuantificación, puesto que la responsabilidad no ha sido puesta en crisis por ninguna de las partes, con lo cual queda firme lo decidido por el operador de grado.</w:t>
      </w:r>
    </w:p>
    <w:p>
      <w:pPr>
        <w:pStyle w:val="[Normal]"/>
        <w:spacing w:line="360" w:lineRule="auto"/>
        <w:ind w:firstLine="992"/>
        <w:jc w:val="both"/>
        <w:rPr>
          <w:lang w:val="es-AR" w:eastAsia="es-AR" w:bidi="es-AR"/>
        </w:rPr>
      </w:pPr>
      <w:r>
        <w:rPr>
          <w:lang w:val="es-AR" w:eastAsia="es-AR" w:bidi="es-AR"/>
        </w:rPr>
        <w:t xml:space="preserve">Dicho ello, comenzaré el desarrollo de mi voto abordando el agravio de la parte actora relativo al rechazo del rubro "incapacidad parcial permanente". </w:t>
      </w:r>
    </w:p>
    <w:p>
      <w:pPr>
        <w:pStyle w:val="[Normal]"/>
        <w:spacing w:line="360" w:lineRule="auto"/>
        <w:ind w:firstLine="1134"/>
        <w:jc w:val="both"/>
        <w:rPr>
          <w:lang w:val="es-AR" w:eastAsia="es-AR" w:bidi="es-AR"/>
        </w:rPr>
      </w:pPr>
      <w:r>
        <w:rPr>
          <w:lang w:val="es-AR" w:eastAsia="es-AR" w:bidi="es-AR"/>
        </w:rPr>
        <w:t xml:space="preserve">En relación a ello y en base al análisis de las constancias de autos anticipo que el mismo no ha de prosperar. Y es que no surge del escrito inicial del accionante mención alguna respecto de elementos de prueba específicos, es decir estudios médicos, certificados, fotografías, gastos en fármacos, tratamiento de rehabilitación, historia clínica, investigación penal preparatoria que respalden documentalmente las lesiones sufridas por el actor y su gravedad. Esta carencia probatoria ha condicionado la labor de la perito médica oficial Polizzi quien a los efectos de la determinación de la incapacidad alegada tuvo que circunscribirse solamente al examen físico del Sr. Sosa (ver presentaciones de fecha 26-08-2024 y 25-11-2024) en un lapso de tiempo distante de la fecha de ocurrencia del siniestro (16-7-2022). Consecuentemente entiendo que la pericia referida resulta concluyente, por cuanto descansa en criterios y conocimientos científicos que la experta interviniente ha aportado y evaluado con rigor, razón por la cual no corresponde apartarse de sus apreciaciones.(arts. 474 del C.P.C. y su doctrina).</w:t>
      </w:r>
    </w:p>
    <w:p>
      <w:pPr>
        <w:pStyle w:val="[Normal]"/>
        <w:spacing w:line="360" w:lineRule="auto"/>
        <w:ind w:firstLine="1134"/>
        <w:jc w:val="both"/>
        <w:rPr>
          <w:lang w:val="es-AR" w:eastAsia="es-AR" w:bidi="es-AR"/>
        </w:rPr>
      </w:pPr>
      <w:r>
        <w:rPr>
          <w:lang w:val="es-AR" w:eastAsia="es-AR" w:bidi="es-AR"/>
        </w:rPr>
        <w:t xml:space="preserve">Respecto de la falta de valoración que aduce el quejoso en relación a las declaraciones testimoniales de los Sres. Ismael y Alan Alevatto en la audiencia de vista de causa del 22-5-2024, debo manifestar que esta parcela del agravio ha de correr la misma suerte negativa que la anteriormente tratada. Y es que el solo relato de los testigos citados no es suficientemente idóneo  como para tener por acreditada la incapacidad que pretende probar.</w:t>
      </w:r>
    </w:p>
    <w:p>
      <w:pPr>
        <w:pStyle w:val="[Normal]"/>
        <w:spacing w:line="360" w:lineRule="auto"/>
        <w:ind w:firstLine="1134"/>
        <w:jc w:val="both"/>
        <w:rPr>
          <w:lang w:val="es-AR" w:eastAsia="es-AR" w:bidi="es-AR"/>
        </w:rPr>
      </w:pPr>
      <w:r>
        <w:rPr>
          <w:lang w:val="es-AR" w:eastAsia="es-AR" w:bidi="es-AR"/>
        </w:rPr>
        <w:t xml:space="preserve">Nuestra jurisprudencia tiene dicho que "</w:t>
      </w:r>
      <w:r>
        <w:rPr>
          <w:i/>
          <w:lang w:val="es-AR" w:eastAsia="es-AR" w:bidi="es-AR"/>
        </w:rPr>
        <w:t xml:space="preserve">resultan insuficientes las declaraciones de los testigos a los fines de acreditar la procedencia de un rubro como la incapacidad, habida cuenta que carecen de los conocimientos científicos necesarios para calificar la dolencia por la que se reclama. Es que tratándose de datos técnicos o científicos, éstos deben ser acreditados por medios de igual clase, es decir, mediante la correspondiente prueba pericial, siendo inconducentes e insuficientes las declaraciones testimoniales para acreditar tales extremos, toda vez que ellas traducen subjetivas apreciaciones que impiden estimar con el rigor necesario si se ha padecido cierta enfermedad</w:t>
      </w:r>
      <w:r>
        <w:rPr>
          <w:lang w:val="es-AR" w:eastAsia="es-AR" w:bidi="es-AR"/>
        </w:rPr>
        <w:t xml:space="preserve">" (CC0203 LP 113523 RSD-158-14 S 16/10/2014 JUBA B355944). </w:t>
      </w:r>
    </w:p>
    <w:p>
      <w:pPr>
        <w:pStyle w:val="[Normal]"/>
        <w:spacing w:line="360" w:lineRule="auto"/>
        <w:ind w:firstLine="1134"/>
        <w:jc w:val="both"/>
        <w:rPr>
          <w:lang w:val="es-AR" w:eastAsia="es-AR" w:bidi="es-AR"/>
        </w:rPr>
      </w:pPr>
      <w:r>
        <w:rPr>
          <w:lang w:val="es-AR" w:eastAsia="es-AR" w:bidi="es-AR"/>
        </w:rPr>
        <w:t xml:space="preserve">En cuanto a la queja por el daño moral -impugnado por ambas partes-, he de señalar que sobre este punto la Cámara de Apelaciones en lo Civil y Comercial de San Nicolás ha entendido que </w:t>
      </w:r>
      <w:r>
        <w:rPr>
          <w:i/>
          <w:lang w:val="es-AR" w:eastAsia="es-AR" w:bidi="es-AR"/>
        </w:rPr>
        <w:t xml:space="preserve">"La valoración del detrimento del daño moral no se encuentra sujeta a cánones estrictos, sino que corresponde a los jueces de la causa establecer en forma prudente el quantum indemnizatorio, tomando como base la gravitación de la lesión sufrida y el hecho generador de la responsabilidad, su función resarcitoria y el principio de reparación integral; tal valoración está sujeta a la apreciación prudencial de los jueces (art. 165 del C.P.C. y C.), ello en atención a que son obvias las dificultades que existen para mensurar en dinero un detrimento de naturaleza no patrimonial, razón por la que ha de tratarse de que atienda apropiadamente a la magnitud del menoscabo espiritual.  Siendo ello así, la reparación del daño moral debe ser determinada ponderando esencialmente la índole de los sufrimientos de quien los padece y no mediante una proporción que los vincule con los daños cuya indemnización se reclama"</w:t>
      </w:r>
      <w:r>
        <w:rPr>
          <w:lang w:val="es-AR" w:eastAsia="es-AR" w:bidi="es-AR"/>
        </w:rPr>
        <w:t xml:space="preserve"> (CC0100 SN 8512, Carátula: Rizzotto, Luis Alberto y Otro c/ Miño, Angel Amavelio y Otros s/ Daños y Perjuicios S 20/12/2011).-</w:t>
      </w:r>
    </w:p>
    <w:p>
      <w:pPr>
        <w:pStyle w:val="[Normal]"/>
        <w:spacing w:line="360" w:lineRule="auto"/>
        <w:ind w:firstLine="1134"/>
        <w:jc w:val="both"/>
        <w:rPr>
          <w:lang w:val="es-AR" w:eastAsia="es-AR" w:bidi="es-AR"/>
        </w:rPr>
      </w:pPr>
      <w:r>
        <w:rPr>
          <w:lang w:val="es-AR" w:eastAsia="es-AR" w:bidi="es-AR"/>
        </w:rPr>
        <w:t xml:space="preserve">Parto entonces de la base de que el daño moral, no patrimonial o extrapatrimonial (Art. 1741 CCCN) puede ser concebido como el comprensivo “de todos los detrimentos espirituales no incapacitantes del actor, el dolor, las aflicciones, los padecimientos, desconsuelo, desdicha, congoja, que provocan malestar grave y que alteran la estructura de los pensamientos, emociones y sentimientos” (arts. 1078 CC y 1741 CCCN; esta Sala, sentencia única recaída en causas nº 61.417, “Latu…” y nº 61.459, “Corradi…”, del 07/03/2017; causas nro. 62.485, “Zampatti” y nro. 62.567, “Gorozo”, sent. única del 22/5/18).  La víctima tiene una percepción negativa o distorsionada de la realidad (a raíz de la alteración de los pensamientos), que provoca repercusiones desfavorables en las emociones (ira, miedo, alegría, tristeza, asco, sorpresa) alterando los sentimientos (amor, fe, vergüenza, odio, culpa, envidia; arts. 1078 y 1741 CCCN)” (Galdós, Jorge Mario, “Hacia una nueva concepción del daño moral.  El aporte de las neurociencias” La Ley 28/9/2020, AR/DOC/2903/2020, criterio recogido por el Tribunal Colegiado de Responsabilidad Extrancontractual N° 1, Primera Secretaría, de Santa Fe, CUIJ 21-12154089-1, autos “Monzón…”, sent. del día 13 de noviembre de 2020).-</w:t>
      </w:r>
    </w:p>
    <w:p>
      <w:pPr>
        <w:pStyle w:val="[Normal]"/>
        <w:spacing w:line="360" w:lineRule="auto"/>
        <w:ind w:firstLine="1134"/>
        <w:jc w:val="both"/>
        <w:rPr>
          <w:lang w:val="es-AR" w:eastAsia="es-AR" w:bidi="es-AR"/>
        </w:rPr>
      </w:pPr>
      <w:r>
        <w:rPr>
          <w:lang w:val="es-AR" w:eastAsia="es-AR" w:bidi="es-AR"/>
        </w:rPr>
        <w:t xml:space="preserve">El resarcimiento del rubro y el ejercicio de las facultades emergentes del Art. 165 del CPCC quedan librados al prudente arbitrio judicial, y en el caso puntual este daño moral no requiere la producción de prueba directa, se lo tiene por configurado ante la razonable presunción de que el ilícito afectó el equilibrio espiritual de la persona.  Es que se  funda en el art. 1741 del CCyC y se tiene por acreditado con la sola comisión del acto antijurídico, puesta se trata de una prueba in re ipsa, esto es, que surge inmediatamente de los hechos mismos, sin que tenga que guardar proporción con los demás perjuicios admitidos.- </w:t>
      </w:r>
    </w:p>
    <w:p>
      <w:pPr>
        <w:pStyle w:val="[Normal]"/>
        <w:spacing w:line="360" w:lineRule="auto"/>
        <w:ind w:firstLine="1134"/>
        <w:jc w:val="both"/>
        <w:rPr>
          <w:lang w:val="es-AR" w:eastAsia="es-AR" w:bidi="es-AR"/>
        </w:rPr>
      </w:pPr>
      <w:r>
        <w:rPr>
          <w:lang w:val="es-AR" w:eastAsia="es-AR" w:bidi="es-AR"/>
        </w:rPr>
        <w:t xml:space="preserve">En la especie, claramente surge que la situación vivida por el actor le ha provocado una alteración del equilibrio espiritual, por lo que en la tarea de mensuración he de tener en cuenta la naturaleza del daño, su extensión, el reposo que tuvo que guardar, los dolores que ha sentido y la judicialización a la que tuvo que acudir en sede civil para obtener una respuesta jurisdiccional, es que propongo al acuerdo elevar el daño moral determinado por el magistrado de primera instancia en la suma de pesos ochocientos cincuenta mil -$850.000-.</w:t>
      </w:r>
    </w:p>
    <w:p>
      <w:pPr>
        <w:pStyle w:val="[Normal]"/>
        <w:spacing w:line="360" w:lineRule="auto"/>
        <w:ind w:firstLine="1134"/>
        <w:jc w:val="both"/>
        <w:rPr>
          <w:lang w:val="es-AR" w:eastAsia="es-AR" w:bidi="es-AR"/>
        </w:rPr>
      </w:pPr>
      <w:r>
        <w:rPr>
          <w:lang w:val="es-AR" w:eastAsia="es-AR" w:bidi="es-AR"/>
        </w:rPr>
        <w:t xml:space="preserve">Por último y  resta analizar el agravio desplegado por la citada en garantía relativo al valor establecido ($ 7.100.000) por la sentencia en crisis para la reparación del rodado propiedad del actor.</w:t>
      </w:r>
    </w:p>
    <w:p>
      <w:pPr>
        <w:pStyle w:val="[Normal]"/>
        <w:spacing w:line="360" w:lineRule="auto"/>
        <w:ind w:firstLine="1134"/>
        <w:jc w:val="both"/>
        <w:rPr>
          <w:lang w:val="es-AR" w:eastAsia="es-AR" w:bidi="es-AR"/>
        </w:rPr>
      </w:pPr>
      <w:r>
        <w:rPr>
          <w:lang w:val="es-AR" w:eastAsia="es-AR" w:bidi="es-AR"/>
        </w:rPr>
        <w:t xml:space="preserve">Al respecto debo mencionar que de las constancias de autos surge un presupuesto del mes de julio del año 2022 arrimado oportunamente por la accionante que arroja un monto de reparación de la unidad en $ 750.000.</w:t>
      </w:r>
    </w:p>
    <w:p>
      <w:pPr>
        <w:pStyle w:val="[Normal]"/>
        <w:spacing w:line="360" w:lineRule="auto"/>
        <w:ind w:firstLine="1134"/>
        <w:jc w:val="both"/>
        <w:rPr>
          <w:i/>
          <w:lang w:val="es-AR" w:eastAsia="es-AR" w:bidi="es-AR"/>
        </w:rPr>
      </w:pPr>
      <w:r>
        <w:rPr>
          <w:lang w:val="es-AR" w:eastAsia="es-AR" w:bidi="es-AR"/>
        </w:rPr>
        <w:t xml:space="preserve">Asimismo de la pericia mecánica oficial de fecha 30-7-2024, el experto Ferretti manifiesta que "</w:t>
      </w:r>
      <w:r>
        <w:rPr>
          <w:i/>
          <w:lang w:val="es-AR" w:eastAsia="es-AR" w:bidi="es-AR"/>
        </w:rPr>
        <w:t xml:space="preserve">El valor de un automóvil Renault 18 GTL año 1983 de características similares al del presente expediente en la fecha de confección del presente informe es subjetivo dependiendo fundamentalmente de la oferta – demanda, de igual manera se puede establecer un valor razonable entre $ 3.000.000 y $ 3.500.000".</w:t>
      </w:r>
    </w:p>
    <w:p>
      <w:pPr>
        <w:pStyle w:val="[Normal]"/>
        <w:spacing w:line="360" w:lineRule="auto"/>
        <w:ind w:firstLine="1134"/>
        <w:jc w:val="both"/>
        <w:rPr>
          <w:lang w:val="es-AR" w:eastAsia="es-AR" w:bidi="es-AR"/>
        </w:rPr>
      </w:pPr>
      <w:r>
        <w:rPr>
          <w:lang w:val="es-AR" w:eastAsia="es-AR" w:bidi="es-AR"/>
        </w:rPr>
        <w:t xml:space="preserve">En esta tónica  y previa consulta con el sitio web "Mercado Libre" a los fines de establecer un valor comparativo entre una unidad de similares características a la venta, verifico la existencia del automotor en muy buen estado de conservación que se ofrece a un valor de u$s 4700. (https://auto.mercadolibre.com.ar/MLA-2577078428-renault-18-20-gtx-_JM#polycard_client=search-nordic&amp;search_layout=grid&amp;position=14&amp;type=item&amp;tracking_id=27a4a95f-6e45-4e76-a242-c2bb2d412e99).</w:t>
      </w:r>
    </w:p>
    <w:p>
      <w:pPr>
        <w:pStyle w:val="[Normal]"/>
        <w:spacing w:line="360" w:lineRule="auto"/>
        <w:ind w:firstLine="1134"/>
        <w:jc w:val="both"/>
        <w:rPr>
          <w:lang w:val="es-AR" w:eastAsia="es-AR" w:bidi="es-AR"/>
        </w:rPr>
      </w:pPr>
      <w:r>
        <w:rPr>
          <w:lang w:val="es-AR" w:eastAsia="es-AR" w:bidi="es-AR"/>
        </w:rPr>
        <w:t xml:space="preserve">Dicho monto convertido en pesos, conforme el precio promedio de dolar que publica el Banco de la Provincia de Buenos Aires para la venta actualmente ($ 1425), arroja una suma aproximada de $ 6.697.500. (https://www.bancoprovincia.com.ar/productos/inversiones/dolares_bip/dolares_bip_info_gral)</w:t>
      </w:r>
    </w:p>
    <w:p>
      <w:pPr>
        <w:pStyle w:val="[Normal]"/>
        <w:spacing w:line="360" w:lineRule="auto"/>
        <w:ind w:firstLine="1134"/>
        <w:jc w:val="both"/>
        <w:rPr>
          <w:lang w:val="es-AR" w:eastAsia="es-AR" w:bidi="es-AR"/>
        </w:rPr>
      </w:pPr>
      <w:r>
        <w:rPr>
          <w:lang w:val="es-AR" w:eastAsia="es-AR" w:bidi="es-AR"/>
        </w:rPr>
        <w:t xml:space="preserve">Conforme lo expuesto y analizando el monto reconocido en concepto de reparación del vehículo en cuestión razono que dicho importe deviene elevado.</w:t>
      </w:r>
    </w:p>
    <w:p>
      <w:pPr>
        <w:pStyle w:val="[Normal]"/>
        <w:spacing w:line="360" w:lineRule="auto"/>
        <w:ind w:firstLine="1134"/>
        <w:jc w:val="both"/>
        <w:rPr>
          <w:lang w:val="es-AR" w:eastAsia="es-AR" w:bidi="es-AR"/>
        </w:rPr>
      </w:pPr>
      <w:r>
        <w:rPr>
          <w:lang w:val="es-AR" w:eastAsia="es-AR" w:bidi="es-AR"/>
        </w:rPr>
        <w:t xml:space="preserve">Por tanto entiendo que se debe considerar como referencia el valor más alto de las sumas manifestadas por el perito mecánico oficial en julio del año 2024 ($ 3.500.000) ajustándolo en un 40%.  Dicho porcentaje de incremento obedece al impacto que ha generado y genera la variación de precios y el proceso inflacionario imperante en nuestro país los ultimo años. En virtud de ello encuentro prudente ajustar la suma establecida en el párrafo anterior a la realidad económica y al principio de reparación integral que informa la materia resarcitoria. Ya que conforme lo dispone el artículo 1740 del Código Civil y Comercial de la Nación, la reparación debe asegurar la restitución plena del bien dañado, de modo que el resarcimiento comprenda el costo real y vigente de la reparación necesaria.</w:t>
      </w:r>
    </w:p>
    <w:p>
      <w:pPr>
        <w:pStyle w:val="[Normal]"/>
        <w:spacing w:line="360" w:lineRule="auto"/>
        <w:ind w:firstLine="1134"/>
        <w:jc w:val="both"/>
        <w:rPr>
          <w:lang w:val="es-AR" w:eastAsia="es-AR" w:bidi="es-AR"/>
        </w:rPr>
      </w:pPr>
      <w:r>
        <w:rPr>
          <w:lang w:val="es-AR" w:eastAsia="es-AR" w:bidi="es-AR"/>
        </w:rPr>
        <w:t xml:space="preserve">En consecuencia y por los fundamentos expuestos entiendo prudente modificar la suma impugnada en $ 4.900.000.</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Roberto Degleue </w:t>
      </w:r>
      <w:r>
        <w:rPr>
          <w:lang w:val="es-AR" w:eastAsia="es-AR" w:bidi="es-AR"/>
        </w:rPr>
        <w:t xml:space="preserve">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interpuesto por la parte actora y por los fundamentos dados en los considerandos precedentes modificar el rubro "Daño moral" y fijar aquí la suma de $ 850.000.</w:t>
      </w:r>
    </w:p>
    <w:p>
      <w:pPr>
        <w:pStyle w:val="[Normal]"/>
        <w:spacing w:line="360" w:lineRule="auto"/>
        <w:ind w:firstLine="1134"/>
        <w:jc w:val="both"/>
        <w:rPr>
          <w:lang w:val="es-AR" w:eastAsia="es-AR" w:bidi="es-AR"/>
        </w:rPr>
      </w:pPr>
      <w:r>
        <w:rPr>
          <w:lang w:val="es-AR" w:eastAsia="es-AR" w:bidi="es-AR"/>
        </w:rPr>
        <w:t xml:space="preserve">Hacer lugar parcialmente el recurso de apelación interpuesto por el demandado y por los fundamentos dados en los considerandos precedentes modificar el rubro "Daño Material-Gastos de Reparación del vehículo" fijando en esta instancia la suma de $ 4.900.000. Confirmando la sentencia en lo demás que decidiera.</w:t>
      </w:r>
    </w:p>
    <w:p>
      <w:pPr>
        <w:pStyle w:val="[Normal]"/>
        <w:spacing w:line="360" w:lineRule="auto"/>
        <w:ind w:firstLine="1134"/>
        <w:jc w:val="both"/>
        <w:rPr>
          <w:lang w:val="es-AR" w:eastAsia="es-AR" w:bidi="es-AR"/>
        </w:rPr>
      </w:pPr>
      <w:r>
        <w:rPr>
          <w:lang w:val="es-AR" w:eastAsia="es-AR" w:bidi="es-AR"/>
        </w:rPr>
        <w:t xml:space="preserve">Imponer las costas de Alzada en el orden causado, atento la existencia de vencimiento parcial y mutuo (art. 68, CPCC.)  (art. 68/9 CPCC).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(Arts. 31 y 51 ley honorarios profesionales).</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w:t>
      </w:r>
      <w:r>
        <w:rPr>
          <w:color w:val="000000"/>
          <w:lang w:val="es-AR" w:eastAsia="es-AR" w:bidi="es-AR"/>
        </w:rPr>
        <w:t xml:space="preserve">Graciela Scaraffia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interpuesto por la parte actora y por los fundamentos dados en los considerandos precedentes modificar el rubro "Daño moral" y fijar aquí la suma de $ 850.000.</w:t>
      </w:r>
    </w:p>
    <w:p>
      <w:pPr>
        <w:pStyle w:val="[Normal]"/>
        <w:spacing w:line="360" w:lineRule="auto"/>
        <w:ind w:firstLine="1134"/>
        <w:jc w:val="both"/>
        <w:rPr>
          <w:lang w:val="es-AR" w:eastAsia="es-AR" w:bidi="es-AR"/>
        </w:rPr>
      </w:pPr>
      <w:r>
        <w:rPr>
          <w:lang w:val="es-AR" w:eastAsia="es-AR" w:bidi="es-AR"/>
        </w:rPr>
        <w:t xml:space="preserve">Hacer lugar parcialmente el recurso de apelación interpuesto por el demandado y por los fundamentos dados en los considerandos precedentes modificar el rubro "Daño Material-Gastos de Reparación del vehículo" fijando en esta instancia la suma de $ 4.900.000. Confirmando la sentencia en lo demás que decidiera.</w:t>
      </w:r>
    </w:p>
    <w:p>
      <w:pPr>
        <w:pStyle w:val="[Normal]"/>
        <w:spacing w:line="360" w:lineRule="auto"/>
        <w:ind w:firstLine="1134"/>
        <w:jc w:val="both"/>
        <w:rPr>
          <w:lang w:val="es-AR" w:eastAsia="es-AR" w:bidi="es-AR"/>
        </w:rPr>
      </w:pPr>
      <w:r>
        <w:rPr>
          <w:lang w:val="es-AR" w:eastAsia="es-AR" w:bidi="es-AR"/>
        </w:rPr>
        <w:t xml:space="preserve">Imponer las costas de Alzada en el orden causado, atento la existencia de vencimiento parcial y mutuo (art. 68/9 CPCC).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(Arts. 31 y 51 ley honorarios profesionales).</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20/11/2025 11:01:49 -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20/11/2025 11:17:27 -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20/11/2025 12:55:44 -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‰8p")è&amp;h\ƒoŠ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248002090006726099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20/11/2025 12:55:59 hs. bajo el número RS-170-2025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