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5801-25</w:t>
      </w:r>
      <w:r>
        <w:rPr>
          <w:lang w:val="es-AR" w:eastAsia="es-AR" w:bidi="es-AR"/>
        </w:rPr>
        <w:t xml:space="preserve"> caratulada </w:t>
      </w:r>
      <w:r>
        <w:rPr>
          <w:b/>
          <w:lang w:val="es-AR" w:eastAsia="es-AR" w:bidi="es-AR"/>
        </w:rPr>
        <w:t xml:space="preserve">"</w:t>
      </w:r>
      <w:r>
        <w:rPr>
          <w:b/>
          <w:color w:val="000000"/>
          <w:lang w:val="es-AR" w:eastAsia="es-AR" w:bidi="es-AR"/>
        </w:rPr>
        <w:t xml:space="preserve">BANCO DE LA PROVINCIA DE BUENOS AIRES  C/ RETAMAL MARCELO DAVID S/ COBRO EJECUTIVO</w:t>
      </w:r>
      <w:r>
        <w:rPr>
          <w:b/>
          <w:lang w:val="es-AR" w:eastAsia="es-AR" w:bidi="es-AR"/>
        </w:rPr>
        <w:t xml:space="preserve">"</w:t>
      </w:r>
      <w:r>
        <w:rPr>
          <w:lang w:val="es-AR" w:eastAsia="es-AR" w:bidi="es-AR"/>
        </w:rPr>
        <w:t xml:space="preserve">, Expte. </w:t>
      </w:r>
      <w:r>
        <w:rPr>
          <w:color w:val="000000"/>
          <w:lang w:val="es-AR" w:eastAsia="es-AR" w:bidi="es-AR"/>
        </w:rPr>
        <w:t xml:space="preserve">68.051</w:t>
      </w:r>
      <w:r>
        <w:rPr>
          <w:color w:val="000000"/>
          <w:lang w:val="es-AR" w:eastAsia="es-AR" w:bidi="es-AR"/>
        </w:rPr>
        <w:t xml:space="preserve"> </w:t>
      </w:r>
      <w:r>
        <w:rPr>
          <w:lang w:val="es-AR" w:eastAsia="es-AR" w:bidi="es-AR"/>
        </w:rPr>
        <w:t xml:space="preserve">del Juzgado en lo Civil y Comercial n° 3,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primera instancia rechazó la liquidación efectuada por la parte ejecutante. En tal sentido y en uso de sus facultades procedió a morigerar los intereses practicando liquidación por Secretaria y aprobándola en la suma total de Pesos Dos Millones Cuatrocientos Veintinueve Mil Setecientos Veintiocho C/ 87/100 ($2.429.728,87); monto compuesto por Pesos Seiscientos Ochenta y Pesos Un Millón Setecientos Cuarenta y Cinco Mil Novecientos Cuarenta y Tres C/ 36/100 ($1.745.943,36) en concepto de capital y Pesos Seiscientos Ochenta y Tres Mil Setecientos Ochenta y Cinco C/ 51/100 ($683.785,51) en concepto de intereses. Asimismo, reguló los honorarios de los letrados intervinientes por las tareas realizadas en la causa.</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por la parte actora el 11-7-2025, concedido el 17-7-225 en relación, no habiendo la contraria contestado el traslado conferido.  </w:t>
      </w:r>
    </w:p>
    <w:p>
      <w:pPr>
        <w:pStyle w:val="[Normal]"/>
        <w:spacing w:line="360" w:lineRule="auto"/>
        <w:ind w:firstLine="1134"/>
        <w:jc w:val="both"/>
        <w:rPr>
          <w:lang w:val="es-AR" w:eastAsia="es-AR" w:bidi="es-AR"/>
        </w:rPr>
      </w:pPr>
      <w:r>
        <w:rPr>
          <w:lang w:val="es-AR" w:eastAsia="es-AR" w:bidi="es-AR"/>
        </w:rPr>
        <w:t xml:space="preserve">Elevados los autos a esta Alzada con fecha 9-9-2025 se llama autos para resolver,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parte apelante se agravia por la aplicación de una tasa de interés diferente a la pactada en el contrato de tarjeta de crédito que origina el crédito ejecutado. Señala que el contrato regulado por la Ley 25.065 y el CCyC, establece una tasa compensatoria fija del 50% sin capitalización, válidamente convenida y vigente. Afirma que el juez aplicó una tasa activa judicial desconociendo la jerarquía del artículo 768 del CCyC, que da prioridad a la tasa contractual, y que la liquidación practicada por su parte -por $2.830.333,54- respeta las condiciones pactadas. Sostiene que la morigeración de intereses realizada es arbitraria y contraria al principio de autonomía de la voluntad, dado que no se acreditó que la tasa pactada sea abusiva o desproporcionada.</w:t>
      </w:r>
    </w:p>
    <w:p>
      <w:pPr>
        <w:pStyle w:val="[Normal]"/>
        <w:spacing w:line="360" w:lineRule="auto"/>
        <w:ind w:firstLine="1134"/>
        <w:jc w:val="both"/>
        <w:rPr>
          <w:lang w:val="es-AR" w:eastAsia="es-AR" w:bidi="es-AR"/>
        </w:rPr>
      </w:pPr>
      <w:r>
        <w:rPr>
          <w:lang w:val="es-AR" w:eastAsia="es-AR" w:bidi="es-AR"/>
        </w:rPr>
        <w:t xml:space="preserve">Invoca doctrina y jurisprudencia que respaldan la validez de las tasas pactadas en contratos de tarjeta de crédito, citando precedentes de distintas Cámaras provinciales que destacan que la intervención judicial sólo procede ante evidencia de abuso, circunstancia inexistente en autos. Solicita que se deje sin efecto la liquidación judicial por aplicar una tasa ajena al contrato (una vez y media la tasa activa del Banco Provincia) y que se apruebe la liquidación presentada por su mandante como única base válida del crédito, manteniendo la tasa contractual y adecuando los honorarios conforme al monto legítimo.</w:t>
      </w:r>
    </w:p>
    <w:p>
      <w:pPr>
        <w:pStyle w:val="[Normal]"/>
        <w:spacing w:line="360" w:lineRule="auto"/>
        <w:ind w:firstLine="1134"/>
        <w:jc w:val="both"/>
        <w:rPr>
          <w:lang w:val="es-AR" w:eastAsia="es-AR" w:bidi="es-AR"/>
        </w:rPr>
      </w:pPr>
      <w:r>
        <w:rPr>
          <w:lang w:val="es-AR" w:eastAsia="es-AR" w:bidi="es-AR"/>
        </w:rPr>
        <w:t xml:space="preserve">Entrando a resolver, cabe señalar que cuando existe acuerdo de partes con relación al cómputo de intereses, cabe aplicar éste (arts. 958, 1003, 1004 y ccs. del CCyC) (conf. CAP causa N° 2921 del 31-8-2017 Reg. N° 11/2017).</w:t>
      </w:r>
    </w:p>
    <w:p>
      <w:pPr>
        <w:pStyle w:val="[Normal]"/>
        <w:spacing w:line="360" w:lineRule="auto"/>
        <w:ind w:firstLine="1134"/>
        <w:jc w:val="both"/>
        <w:rPr>
          <w:lang w:val="es-AR" w:eastAsia="es-AR" w:bidi="es-AR"/>
        </w:rPr>
      </w:pPr>
      <w:r>
        <w:rPr>
          <w:lang w:val="es-AR" w:eastAsia="es-AR" w:bidi="es-AR"/>
        </w:rPr>
        <w:t xml:space="preserve">Sin perjuicio de lo anterior, el CCyC atribuye a los jueces la facultad de morigerar los intereses cuando la tasa fijada pueda importar una carga desmedida para el deudor o exceda sin justificación y desproporcionadamente, el costo medio del dinero para deudores y operaciones similares en el lugar donde se contrajo la obligación (art. 771 CCyC). </w:t>
      </w:r>
    </w:p>
    <w:p>
      <w:pPr>
        <w:pStyle w:val="[Normal]"/>
        <w:spacing w:line="360" w:lineRule="auto"/>
        <w:ind w:firstLine="1134"/>
        <w:jc w:val="both"/>
        <w:rPr>
          <w:lang w:val="es-AR" w:eastAsia="es-AR" w:bidi="es-AR"/>
        </w:rPr>
      </w:pPr>
      <w:r>
        <w:rPr>
          <w:lang w:val="es-AR" w:eastAsia="es-AR" w:bidi="es-AR"/>
        </w:rPr>
        <w:t xml:space="preserve">En ese contexto, las facultades judiciales morigeradoras de los intereses pactados proceden de hallarse comprobada una práctica abusiva, usuraria o confiscatoria (arg. arts. 21, 953, 954 y 1071, Cód. Civ. y, en su caso, lo normado por el art. 37 de la ley 24.240). La obligación del deudor, se ha dicho, no puede exceder el crédito actualizado con un interés que trascienda los límites de la moral y las buenas costumbres (Fallos: 318:1345, 320:158 y 327:1881; 330:5306) (conf. SCBA LP C 102009 S 18/06/2014 JUBA B33376).</w:t>
      </w:r>
    </w:p>
    <w:p>
      <w:pPr>
        <w:pStyle w:val="[Normal]"/>
        <w:spacing w:line="360" w:lineRule="auto"/>
        <w:ind w:firstLine="1134"/>
        <w:jc w:val="both"/>
        <w:rPr>
          <w:lang w:val="es-AR" w:eastAsia="es-AR" w:bidi="es-AR"/>
        </w:rPr>
      </w:pPr>
      <w:r>
        <w:rPr>
          <w:lang w:val="es-AR" w:eastAsia="es-AR" w:bidi="es-AR"/>
        </w:rPr>
        <w:t xml:space="preserve">Ello así, se advierte de las constancias habidas en la causa que en la sentencia de fecha 30-4-2025 se resolvió que ante la falta de oposición de excepciones por parte de la ejecutada dentro del termino legal y habiendo sido intimada de pago a su domicilio real se decretó llevar adelante la ejecución haciendo "</w:t>
      </w:r>
      <w:r>
        <w:rPr>
          <w:i/>
          <w:lang w:val="es-AR" w:eastAsia="es-AR" w:bidi="es-AR"/>
        </w:rPr>
        <w:t xml:space="preserve">íntegro pago del capital reclamado ..., con más los intereses liquidados en la forma pactada, desde el día de la mora: 11-11-2024, con la salvedad de que se evaluará si los mismos son excesivos y contrarios a la moral y buenas costumbres, en el momento procesal de examinar la liquidación, teniendo en cuenta lo que disponen los arts. 10, 279, 771, 794, y ccs. del Código Civil y Comercial</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Firme aquella resolución, la recurrente practicó liquidación en la presentación electrónica de fecha 28-5-2025. El juez de grado al tratar el pedido de aprobación de la misma y luego de realizar las operaciones aritméticas correspondientes, resolvió -a mi modo de ver criteriosamente- aplicar la morigeración, haciendo uso de las facultades reconocidas en el código fondal, no haciendo lugar a la aprobación del monto de interés que arroja la liquidación, sino modificando el mismo a una vez y media la tasa activa de descuento a 30 días del Banco Provincia, la cual consideró ajustada al caso y a supuestos análogos al presente.</w:t>
      </w:r>
    </w:p>
    <w:p>
      <w:pPr>
        <w:pStyle w:val="[Normal]"/>
        <w:spacing w:line="360" w:lineRule="auto"/>
        <w:ind w:firstLine="1134"/>
        <w:jc w:val="both"/>
        <w:rPr>
          <w:lang w:val="es-AR" w:eastAsia="es-AR" w:bidi="es-AR"/>
        </w:rPr>
      </w:pPr>
      <w:r>
        <w:rPr>
          <w:lang w:val="es-AR" w:eastAsia="es-AR" w:bidi="es-AR"/>
        </w:rPr>
        <w:t xml:space="preserve">Reseñado lo anterior, y para dar respuesta al cuestionamiento realizado por el ejecutado mediante el recurso en tratamiento, he de señalar varias consideraciones las cuales trataré en los siguientes apartados:</w:t>
      </w:r>
    </w:p>
    <w:p>
      <w:pPr>
        <w:pStyle w:val="[Normal]"/>
        <w:spacing w:line="360" w:lineRule="auto"/>
        <w:ind w:firstLine="1134"/>
        <w:jc w:val="both"/>
        <w:rPr>
          <w:lang w:val="es-AR" w:eastAsia="es-AR" w:bidi="es-AR"/>
        </w:rPr>
      </w:pPr>
      <w:r>
        <w:rPr>
          <w:lang w:val="es-AR" w:eastAsia="es-AR" w:bidi="es-AR"/>
        </w:rPr>
        <w:t xml:space="preserve">a) Primariamente he de confirmar el monto de capital establecido en la liquidación, pues no fue materia de agravios y son los montos por los cuales se inicia la revisión de la liquidación. En definitiva, la base por las cuales se practica la liquidación se encuentra firme. </w:t>
      </w:r>
    </w:p>
    <w:p>
      <w:pPr>
        <w:pStyle w:val="[Normal]"/>
        <w:spacing w:line="360" w:lineRule="auto"/>
        <w:ind w:firstLine="1134"/>
        <w:jc w:val="both"/>
        <w:rPr>
          <w:lang w:val="es-AR" w:eastAsia="es-AR" w:bidi="es-AR"/>
        </w:rPr>
      </w:pPr>
      <w:r>
        <w:rPr>
          <w:lang w:val="es-AR" w:eastAsia="es-AR" w:bidi="es-AR"/>
        </w:rPr>
        <w:t xml:space="preserve">b) En relación a los intereses sólo se encuentra cuestionada la tasa de interés aplicable por el a quo. En referencia a ello he de resaltar que de accederse a la pretensión actoral el interés sobre el monto de capital conforme la liquidación y aplicando el índice pactado en el contrato, ascendería a $1.030.790,18. Haciendo una revisión de la planilla presentada por la ejecutada, advierto que los rubros allí consignados resultan poco claros, es decir no establece de manera clara y expresa la tasa de interés moratorio aplicable a los periodos descriptos y adiciona el rubro "gasto" en la suma $ 53.600 sin emitir referencia alguna la procedencia de tal detalle. Resulta indispensable que para que se apruebe la liquidación se consignen los índices utilizados, los coeficientes obtenidos y los montos determinados (arts.165 y 501 del CPCC). Lo expuesto ello me lleva a la convicción que no reúne las características para que la misma sea aprobada, existiendo  desproporciones e inequidades, lo que dificulta el contralor de la contraparte y del juzgador. </w:t>
      </w:r>
    </w:p>
    <w:p>
      <w:pPr>
        <w:pStyle w:val="[Normal]"/>
        <w:spacing w:line="360" w:lineRule="auto"/>
        <w:ind w:firstLine="1134"/>
        <w:jc w:val="both"/>
        <w:rPr>
          <w:lang w:val="es-AR" w:eastAsia="es-AR" w:bidi="es-AR"/>
        </w:rPr>
      </w:pPr>
      <w:r>
        <w:rPr>
          <w:lang w:val="es-AR" w:eastAsia="es-AR" w:bidi="es-AR"/>
        </w:rPr>
        <w:t xml:space="preserve">Sin perjuicio de lo anterior, haciendo un cálculo respecto al interés total y puro que pretende la accionante en su liquidación, el monto de intereses representaría un capital que ascendería a más del 91% anual de interés. En tal contexto, es evidente que el cálculo pretendido por la ejecutante arroja un resultado desproporcionado que excede el costo medio del dinero, por lo tanto, aparece ajustada a derecho la morigeración ordenada por el a-quo pues resguarda adecuadamente el derecho de propiedad de ambas partes (art. 17 CN).</w:t>
      </w:r>
    </w:p>
    <w:p>
      <w:pPr>
        <w:pStyle w:val="[Normal]"/>
        <w:spacing w:line="360" w:lineRule="auto"/>
        <w:ind w:firstLine="1134"/>
        <w:jc w:val="both"/>
        <w:rPr>
          <w:lang w:val="es-AR" w:eastAsia="es-AR" w:bidi="es-AR"/>
        </w:rPr>
      </w:pPr>
      <w:r>
        <w:rPr>
          <w:lang w:val="es-AR" w:eastAsia="es-AR" w:bidi="es-AR"/>
        </w:rPr>
        <w:t xml:space="preserve">c) En relación a la tasa de interés determinada por el operador primero, he de mencionar que la misma condice con la naturaleza del contrato, y se encuentra dentro de los indices establecidos jurisprudencialmente para estos casos, pues resulta ajustado a derecho, que el monto de interés no supere el costo medio del dinero, y la tasa determinada por el a quo fijada en una vez y media la tasa activa del Banco Provincia de Buenos Aires, condice con lo antecedentes dictados por este Tribunal. (cfr. CAP N° 4124/20, RSI 156/21 de fecha 5/8/2021, N° 1601 RSI 40/2013 de fecha 4/3/2013).</w:t>
      </w:r>
    </w:p>
    <w:p>
      <w:pPr>
        <w:pStyle w:val="[Normal]"/>
        <w:spacing w:line="360" w:lineRule="auto"/>
        <w:ind w:firstLine="1134"/>
        <w:jc w:val="both"/>
        <w:rPr>
          <w:lang w:val="es-AR" w:eastAsia="es-AR" w:bidi="es-AR"/>
        </w:rPr>
      </w:pPr>
      <w:r>
        <w:rPr>
          <w:lang w:val="es-AR" w:eastAsia="es-AR" w:bidi="es-AR"/>
        </w:rPr>
        <w:t xml:space="preserve">El Juez de grado procedió a practicar la liquidación con el índice establecido, el cual fue agregado en PDF a la resolución. El agravio sustentado en que el juez no morigeró sino que directamente modificó completamente el interés pactado en el contrato debe ser desestimado en tanto los fundamentos arriba desarrollados respecto a la morigeración así lo obligan. Y, la tasa determinada por el juzgador se encuentra dentro de los parámetros judiciales establecidos por este Tribunal y su cuestionamiento por el recurrente no ha logrado rebatir ni ha puesto de manifiesto el yerro de la resolución judicial que se considera equivocada, manifestando una mera discrepancia con la tasa determinada por el operador primero, sin suministrar argumentos jurídicos que lo desmerezcan. Se requiere así, que se demuestren los pretendidos errores, omisiones y deficiencias que el apelante atribuye al pronunciamiento que ataca". (Cfr. Morello op. cit.  pág 212).</w:t>
      </w:r>
    </w:p>
    <w:p>
      <w:pPr>
        <w:pStyle w:val="[Normal]"/>
        <w:spacing w:line="360" w:lineRule="auto"/>
        <w:ind w:firstLine="1134"/>
        <w:jc w:val="both"/>
        <w:rPr>
          <w:lang w:val="es-AR" w:eastAsia="es-AR" w:bidi="es-AR"/>
        </w:rPr>
      </w:pPr>
      <w:r>
        <w:rPr>
          <w:lang w:val="es-AR" w:eastAsia="es-AR" w:bidi="es-AR"/>
        </w:rPr>
        <w:t xml:space="preserve">Concluyo entonces en relación a la tasa determinada por el juzgador, que la misma se encuentra ajustada a derecho, en consecuencia propongo al acuerdo confirmar el monto por el cual fue aprobada la liquidación correspondiente, el cual arroja un monto de capital de $ 1.745.943,36 y de intereses de $ 683.785,51.</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y en su mérito confirmar la resolución en todo aquello que fuera materia de agravio.</w:t>
      </w:r>
    </w:p>
    <w:p>
      <w:pPr>
        <w:pStyle w:val="[Normal]"/>
        <w:spacing w:line="360" w:lineRule="auto"/>
        <w:ind w:firstLine="1134"/>
        <w:jc w:val="both"/>
        <w:rPr>
          <w:lang w:val="es-AR" w:eastAsia="es-AR" w:bidi="es-AR"/>
        </w:rPr>
      </w:pPr>
      <w:r>
        <w:rPr>
          <w:lang w:val="es-AR" w:eastAsia="es-AR" w:bidi="es-AR"/>
        </w:rPr>
        <w:t xml:space="preserve">Costas en el orden causado, por no mediar contracción (art. 68 CPCC).</w:t>
      </w:r>
    </w:p>
    <w:p>
      <w:pPr>
        <w:pStyle w:val="[Normal]"/>
        <w:spacing w:line="360" w:lineRule="auto"/>
        <w:ind w:firstLine="1134"/>
        <w:jc w:val="both"/>
        <w:rPr>
          <w:lang w:val="es-AR" w:eastAsia="es-AR" w:bidi="es-AR"/>
        </w:rPr>
      </w:pPr>
      <w:r>
        <w:rPr>
          <w:lang w:val="es-AR" w:eastAsia="es-AR" w:bidi="es-AR"/>
        </w:rPr>
        <w:t xml:space="preserve">Diferir la regulación de honorarios de esta instancia para su oportunidad (art. 31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Rechazar el recurso de apelación deducido y en su mérito confirmar la resolución en todo aquello que fuera materia de agravio.</w:t>
      </w:r>
    </w:p>
    <w:p>
      <w:pPr>
        <w:pStyle w:val="[Normal]"/>
        <w:spacing w:line="360" w:lineRule="auto"/>
        <w:ind w:firstLine="1134"/>
        <w:jc w:val="both"/>
        <w:rPr>
          <w:lang w:val="es-AR" w:eastAsia="es-AR" w:bidi="es-AR"/>
        </w:rPr>
      </w:pPr>
      <w:r>
        <w:rPr>
          <w:lang w:val="es-AR" w:eastAsia="es-AR" w:bidi="es-AR"/>
        </w:rPr>
        <w:t xml:space="preserve">Costas en el orden causado, por no mediar contracción (art. 68 CPCC).</w:t>
      </w:r>
    </w:p>
    <w:p>
      <w:pPr>
        <w:pStyle w:val="[Normal]"/>
        <w:spacing w:line="360" w:lineRule="auto"/>
        <w:ind w:firstLine="1134"/>
        <w:jc w:val="both"/>
        <w:rPr>
          <w:lang w:val="es-AR" w:eastAsia="es-AR" w:bidi="es-AR"/>
        </w:rPr>
      </w:pPr>
      <w:r>
        <w:rPr>
          <w:lang w:val="es-AR" w:eastAsia="es-AR" w:bidi="es-AR"/>
        </w:rPr>
        <w:t xml:space="preserve">Diferir la regulación de honorarios de esta instancia para su oportunidad (art. 31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23261843439@NOTIFICACIONES.SCBA.GOV.AR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27300896621@BAPRO.NOTIFICACIONES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20/11/2025 11:02:03 -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20/11/2025 11:18:03 -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20/11/2025 12:56:41 - TROTTA Alfonso Bartolome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‰8=")è&amp;e%E{Š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242902090006690537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20/11/2025 12:56:55 hs. bajo el número RS-171-2025 por TROTTA ALFONSO BARTOLOME.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