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5808-25</w:t>
      </w:r>
      <w:r>
        <w:rPr>
          <w:lang w:val="es-AR" w:eastAsia="es-AR" w:bidi="es-AR"/>
        </w:rPr>
        <w:t xml:space="preserve"> caratulada </w:t>
      </w:r>
      <w:r>
        <w:rPr>
          <w:b/>
          <w:lang w:val="es-AR" w:eastAsia="es-AR" w:bidi="es-AR"/>
        </w:rPr>
        <w:t xml:space="preserve">"I. F. H.  C/ O. C.D. L. A. S/ MATERIA A CATEGORIZAR</w:t>
      </w:r>
      <w:r>
        <w:rPr>
          <w:lang w:val="es-AR" w:eastAsia="es-AR" w:bidi="es-AR"/>
        </w:rPr>
        <w:t xml:space="preserve">, Expte. </w:t>
      </w:r>
      <w:r>
        <w:rPr>
          <w:color w:val="000000"/>
          <w:lang w:val="es-AR" w:eastAsia="es-AR" w:bidi="es-AR"/>
        </w:rPr>
        <w:t xml:space="preserve">84.342</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parcialmente a la demanda interpuesta por F. H. I. y declaró como bien ganancial únicamente y sujeto al régimen de aval y/o partición el inmueble sito en calle xxx de esta ciudad de Pergamino. Hizo saber a las partes que podrían proponer de común acuerdo su partición por la forma y por el acto que juzguen más convenientes a sus intereses (Art. 2369 C.C. y C.).  Aplicó las costas en el orden causado, atento que el pedimento fue recibido de manera parcial. A cuyos efectos difirió la regulación de honorarios para la etapa procesa oportuna y hasta tanto se determine el monto del juicio ( art. 27 inc. a de la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(22-8-2025, concedido el día 28-8-2025 libremente y con efecto suspensivo.  Elevados los autos a esta Alzada con fecha 2-9-2025 se ordenó expresar agravios a la parte actora, quien el 10-9-2025 los fundó, del mismo el 16-9-2025 traslado a la contraparte, quien los evacuo el 26-5-2025.  Con fecha 30-9-2025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contra la sentencia de grado respecto de los siguientes puntos: a) omisión de fijación de canon locativo a su favor supeditándolo a una audiencia, b) que no se haya condenado a la demandada al pago de la deuda por impuestos municipales e inmobiliarios por el uso del inmueble c) imposición de costas en el orden causado.-</w:t>
      </w:r>
    </w:p>
    <w:p>
      <w:pPr>
        <w:pStyle w:val="[Normal]"/>
        <w:spacing w:line="360" w:lineRule="auto"/>
        <w:ind w:firstLine="1134"/>
        <w:jc w:val="both"/>
        <w:rPr>
          <w:lang w:val="es-AR" w:eastAsia="es-AR" w:bidi="es-AR"/>
        </w:rPr>
      </w:pPr>
      <w:r>
        <w:rPr>
          <w:lang w:val="es-AR" w:eastAsia="es-AR" w:bidi="es-AR"/>
        </w:rPr>
        <w:t xml:space="preserve">En los antecedentes del caso se presentó el actor . H. I. con el patrocinio letrado del Dr. J. V., promoviendo formal demanda de liquidación de sociedad conyugal contra la Sra. C. d. l. A. O., invocando el divorcio decretado el 14 de febrero de 2011 Expte. 61.863 y disolviendo la misma a la fecha de la demanda, esto es el 25 de marzo de 2008.  Expresó que si bien el inmueble asiento del hogar conyugal le fue atribuido a la demandada y a las hijas de ambos, ello fue teniendo en cuenta que por entonces eran menores de edad pero que a posteriori alcanzaron la mayoría.-</w:t>
      </w:r>
    </w:p>
    <w:p>
      <w:pPr>
        <w:pStyle w:val="[Normal]"/>
        <w:spacing w:line="360" w:lineRule="auto"/>
        <w:ind w:firstLine="1134"/>
        <w:jc w:val="both"/>
        <w:rPr>
          <w:lang w:val="es-AR" w:eastAsia="es-AR" w:bidi="es-AR"/>
        </w:rPr>
      </w:pPr>
      <w:r>
        <w:rPr>
          <w:lang w:val="es-AR" w:eastAsia="es-AR" w:bidi="es-AR"/>
        </w:rPr>
        <w:t xml:space="preserve">Que asimismo hasta tanto se proceda a la venta del único bien inmueble integrante de la sociedad conyugal pide se fije un canon locativo a su favor por la mitad indivisa del bien que le corresponde y que no goza, pretensión a la que opone resistencia la demandada invocando ahora que vive allí con su nieto de 11 años T.B.I. y que tiene la guarda del mismo otorgada por el Juez de Familia.-</w:t>
      </w:r>
    </w:p>
    <w:p>
      <w:pPr>
        <w:pStyle w:val="[Normal]"/>
        <w:spacing w:line="360" w:lineRule="auto"/>
        <w:ind w:firstLine="1134"/>
        <w:jc w:val="both"/>
        <w:rPr>
          <w:lang w:val="es-AR" w:eastAsia="es-AR" w:bidi="es-AR"/>
        </w:rPr>
      </w:pPr>
      <w:r>
        <w:rPr>
          <w:lang w:val="es-AR" w:eastAsia="es-AR" w:bidi="es-AR"/>
        </w:rPr>
        <w:t xml:space="preserve">También luce audiencia mediante la cual las partes convienen la tasación del inmueble determinando su valor de venta así como el canon locativo, incorporada aquella las partes no llegan a ningún acuerdo, produciéndose entonces la prueba restante y dictándose la sentencia que hoy se pone en crisis.-</w:t>
      </w:r>
    </w:p>
    <w:p>
      <w:pPr>
        <w:pStyle w:val="[Normal]"/>
        <w:spacing w:line="360" w:lineRule="auto"/>
        <w:ind w:firstLine="1134"/>
        <w:jc w:val="both"/>
        <w:rPr>
          <w:lang w:val="es-AR" w:eastAsia="es-AR" w:bidi="es-AR"/>
        </w:rPr>
      </w:pPr>
      <w:r>
        <w:rPr>
          <w:lang w:val="es-AR" w:eastAsia="es-AR" w:bidi="es-AR"/>
        </w:rPr>
        <w:t xml:space="preserve">En tren de propiciar la resolución de las cuestiones traídas, considero conveniente efectuar un somero encuadramiento conceptual del proceso de disolución y liquidación de la sociedad conyugal.-</w:t>
      </w:r>
    </w:p>
    <w:p>
      <w:pPr>
        <w:pStyle w:val="[Normal]"/>
        <w:spacing w:line="360" w:lineRule="auto"/>
        <w:ind w:firstLine="1134"/>
        <w:jc w:val="both"/>
        <w:rPr>
          <w:lang w:val="es-AR" w:eastAsia="es-AR" w:bidi="es-AR"/>
        </w:rPr>
      </w:pPr>
      <w:r>
        <w:rPr>
          <w:lang w:val="es-AR" w:eastAsia="es-AR" w:bidi="es-AR"/>
        </w:rPr>
        <w:t xml:space="preserve">En este plano, nuestro sistema normativo permite optar (tanto al contraer matrimonio como con posterioridad) por distintos regímenes de bienes, uno de estos era el régimen de la comunidad de ganancias, que hoy se aplica como supletorio en el caso de silencio de los cónyuges (art. 463 del CCCN).-</w:t>
      </w:r>
    </w:p>
    <w:p>
      <w:pPr>
        <w:pStyle w:val="[Normal]"/>
        <w:spacing w:line="360" w:lineRule="auto"/>
        <w:ind w:firstLine="1134"/>
        <w:jc w:val="both"/>
        <w:rPr>
          <w:lang w:val="es-AR" w:eastAsia="es-AR" w:bidi="es-AR"/>
        </w:rPr>
      </w:pPr>
      <w:r>
        <w:rPr>
          <w:lang w:val="es-AR" w:eastAsia="es-AR" w:bidi="es-AR"/>
        </w:rPr>
        <w:t xml:space="preserve">Por regla general todos los bienes que no sean propios serán gananciales, esto incluye a los bienes creados o adquiridos a titulo oneroso o comenzados a poseer durante la comunidad por uno u otro de los cónyuges, o por ambos en conjunto, siempre que no sean propios, los adquiridos por juegos de azar, a los frutos civiles de la profesión de cada esposo y a los adquiridos luego del matrimonio cuyo derecho haya sido adquirido con anterioridad al divorcio, descripción resuelta en el art. 465 del CCCN (Cf. Cámara de Apelaciones en lo Civil y Comercial, n° 4409).-</w:t>
      </w:r>
    </w:p>
    <w:p>
      <w:pPr>
        <w:pStyle w:val="[Normal]"/>
        <w:spacing w:line="360" w:lineRule="auto"/>
        <w:ind w:firstLine="1134"/>
        <w:jc w:val="both"/>
        <w:rPr>
          <w:lang w:val="es-AR" w:eastAsia="es-AR" w:bidi="es-AR"/>
        </w:rPr>
      </w:pPr>
      <w:r>
        <w:rPr>
          <w:lang w:val="es-AR" w:eastAsia="es-AR" w:bidi="es-AR"/>
        </w:rPr>
        <w:t xml:space="preserve">La presunción salvo prueba en contrario, es que son gananciales todos los bienes existentes en el momento de la extinción de la comunidad (art. 466 del CCCN).-</w:t>
      </w:r>
    </w:p>
    <w:p>
      <w:pPr>
        <w:pStyle w:val="[Normal]"/>
        <w:spacing w:line="360" w:lineRule="auto"/>
        <w:ind w:firstLine="1134"/>
        <w:jc w:val="both"/>
        <w:rPr>
          <w:lang w:val="es-AR" w:eastAsia="es-AR" w:bidi="es-AR"/>
        </w:rPr>
      </w:pPr>
      <w:r>
        <w:rPr>
          <w:lang w:val="es-AR" w:eastAsia="es-AR" w:bidi="es-AR"/>
        </w:rPr>
        <w:t xml:space="preserve">Sabido es también que la comunidad de ganancias se extingue por a) la muerte de uno de los cónyuges, b) la anulación del matrimonio, c) el divorcio, d) la separación judicial de bienes y e) la modificación del régimen matrimonial convenido.-</w:t>
      </w:r>
    </w:p>
    <w:p>
      <w:pPr>
        <w:pStyle w:val="[Normal]"/>
        <w:spacing w:line="360" w:lineRule="auto"/>
        <w:ind w:firstLine="1134"/>
        <w:jc w:val="both"/>
        <w:rPr>
          <w:lang w:val="es-AR" w:eastAsia="es-AR" w:bidi="es-AR"/>
        </w:rPr>
      </w:pPr>
      <w:r>
        <w:rPr>
          <w:lang w:val="es-AR" w:eastAsia="es-AR" w:bidi="es-AR"/>
        </w:rPr>
        <w:t xml:space="preserve">La liquidación de la comunidad se define entonces como el proceso por el cual se dividen los bienes comunes que existan en el matrimonio, y que comprende todos aquellos actos posteriores a la disolución, como son la determinación del carácter de los bienes (gananciales o propios), la fijación de los créditos de la comunidad sobre cada uno de los cónyuges y los que pueden tener éstos en relación con aquella; el reintegro de los bienes propios y de la participación de los gananciales.-</w:t>
      </w:r>
    </w:p>
    <w:p>
      <w:pPr>
        <w:pStyle w:val="[Normal]"/>
        <w:spacing w:line="360" w:lineRule="auto"/>
        <w:ind w:firstLine="1134"/>
        <w:jc w:val="both"/>
        <w:rPr>
          <w:lang w:val="es-AR" w:eastAsia="es-AR" w:bidi="es-AR"/>
        </w:rPr>
      </w:pPr>
      <w:r>
        <w:rPr>
          <w:lang w:val="es-AR" w:eastAsia="es-AR" w:bidi="es-AR"/>
        </w:rPr>
        <w:t xml:space="preserve">A su vez, extinguida aquella se procede a la liquidación y se establece la cuenta de las recompensas que la comunidad debe a cada cónyuge y la que cada uno de ellos debe a la comunidad (art. 488 del CCCN), debiendo establecerse las cargas comunes y las obligaciones personales de cada ex esposo (art. 489 y 490 del CCCN).-</w:t>
      </w:r>
    </w:p>
    <w:p>
      <w:pPr>
        <w:pStyle w:val="[Normal]"/>
        <w:spacing w:line="360" w:lineRule="auto"/>
        <w:ind w:firstLine="1134"/>
        <w:jc w:val="both"/>
        <w:rPr>
          <w:lang w:val="es-AR" w:eastAsia="es-AR" w:bidi="es-AR"/>
        </w:rPr>
      </w:pPr>
      <w:r>
        <w:rPr>
          <w:lang w:val="es-AR" w:eastAsia="es-AR" w:bidi="es-AR"/>
        </w:rPr>
        <w:t xml:space="preserve">La regla general es que se debe recompensa al cónyuge si se ha beneficiado en detrimento del patrimonio propio, y el cónyuge a la comunidad si se ha beneficiado en detrimento del haber comunitario. Si durante la comunidad uno de los cónyuges ha enajenado bienes propios a título oneroso sin reinvertir su precio, se presume, salvo prueba en contrario, que lo percibido ha beneficiado a la comunidad. Si la participación de carácter propio de uno de los cónyuges en una sociedad adquiere un mayor valor a causa de la capitalización de utilidades durante la comunidad, el cónyuge socio debe recompensar a la comunidad, cláusula aplicable a los fondos de comercio (art. 491 del CCCN).-</w:t>
      </w:r>
    </w:p>
    <w:p>
      <w:pPr>
        <w:pStyle w:val="[Normal]"/>
        <w:spacing w:line="360" w:lineRule="auto"/>
        <w:ind w:firstLine="1134"/>
        <w:jc w:val="both"/>
        <w:rPr>
          <w:lang w:val="es-AR" w:eastAsia="es-AR" w:bidi="es-AR"/>
        </w:rPr>
      </w:pPr>
      <w:r>
        <w:rPr>
          <w:lang w:val="es-AR" w:eastAsia="es-AR" w:bidi="es-AR"/>
        </w:rPr>
        <w:t xml:space="preserve">El monto de la recompensa es igual al menor de los valores que representan la erogación y el provecho subsistente para el cónyuge o la comunidad, al día de la extinción, apreciados en valores constantes. Si de la erogación no derivó ningún beneficio, se toma en cuenta el valor de aquella (art. 493 del CCCN y su doctrina).-</w:t>
      </w:r>
    </w:p>
    <w:p>
      <w:pPr>
        <w:pStyle w:val="[Normal]"/>
        <w:spacing w:line="360" w:lineRule="auto"/>
        <w:ind w:firstLine="1134"/>
        <w:jc w:val="both"/>
        <w:rPr>
          <w:lang w:val="es-AR" w:eastAsia="es-AR" w:bidi="es-AR"/>
        </w:rPr>
      </w:pPr>
      <w:r>
        <w:rPr>
          <w:lang w:val="es-AR" w:eastAsia="es-AR" w:bidi="es-AR"/>
        </w:rPr>
        <w:t xml:space="preserve">Los bienes que originan este tipo de compensaciones se valúan según su estado al día de la disolución del régimen y según su valor al tiempo de la liquidación (art. 494 del CCCN y su doctrina).-</w:t>
      </w:r>
    </w:p>
    <w:p>
      <w:pPr>
        <w:pStyle w:val="[Normal]"/>
        <w:spacing w:line="360" w:lineRule="auto"/>
        <w:ind w:firstLine="1134"/>
        <w:jc w:val="both"/>
        <w:rPr>
          <w:lang w:val="es-AR" w:eastAsia="es-AR" w:bidi="es-AR"/>
        </w:rPr>
      </w:pPr>
      <w:r>
        <w:rPr>
          <w:lang w:val="es-AR" w:eastAsia="es-AR" w:bidi="es-AR"/>
        </w:rPr>
        <w:t xml:space="preserve">Desde esta descripción normativa y conceptual he de dar tratamiento a los puntos traídos en revisión a esta Alzada evacuando aquellos propuestos en su conjunto en tanto están interrelacionados entre si.-</w:t>
      </w:r>
    </w:p>
    <w:p>
      <w:pPr>
        <w:pStyle w:val="[Normal]"/>
        <w:spacing w:line="360" w:lineRule="auto"/>
        <w:ind w:firstLine="1134"/>
        <w:jc w:val="both"/>
        <w:rPr>
          <w:lang w:val="es-AR" w:eastAsia="es-AR" w:bidi="es-AR"/>
        </w:rPr>
      </w:pPr>
      <w:r>
        <w:rPr>
          <w:lang w:val="es-AR" w:eastAsia="es-AR" w:bidi="es-AR"/>
        </w:rPr>
        <w:t xml:space="preserve">Los agravios fueron enumerados al comenzar el tratamiento y advierto que el primero versa sobre la omisión de fijación del canon locativo pedido por el actor, (diferida a una audiencia)  el segundo que no se haya condenado al pago de la deuda por impuestos y tercero las costas por su orden.-</w:t>
      </w:r>
    </w:p>
    <w:p>
      <w:pPr>
        <w:pStyle w:val="[Normal]"/>
        <w:spacing w:line="360" w:lineRule="auto"/>
        <w:ind w:firstLine="1134"/>
        <w:jc w:val="both"/>
        <w:rPr>
          <w:lang w:val="es-AR" w:eastAsia="es-AR" w:bidi="es-AR"/>
        </w:rPr>
      </w:pPr>
      <w:r>
        <w:rPr>
          <w:lang w:val="es-AR" w:eastAsia="es-AR" w:bidi="es-AR"/>
        </w:rPr>
        <w:t xml:space="preserve">Esta Alzada sólo puede tratar los puntos traídos a revisión que son precisamente estos tres enumerados.-</w:t>
      </w:r>
    </w:p>
    <w:p>
      <w:pPr>
        <w:pStyle w:val="[Normal]"/>
        <w:spacing w:line="360" w:lineRule="auto"/>
        <w:ind w:firstLine="1134"/>
        <w:jc w:val="both"/>
        <w:rPr>
          <w:lang w:val="es-AR" w:eastAsia="es-AR" w:bidi="es-AR"/>
        </w:rPr>
      </w:pPr>
      <w:r>
        <w:rPr>
          <w:lang w:val="es-AR" w:eastAsia="es-AR" w:bidi="es-AR"/>
        </w:rPr>
        <w:t xml:space="preserve">Respecto de la liquidación ha sido claro el razonamiento del operador en cuanto la sentencia ha reconocido que el único bien ganancial está constituido por el inmueble asiendo de la sociedad conyugal ubicado en calle xx, corroborándose su ganancialidad con el informe de dominio agregado en autos del cual el juez desprende que la adquisición tuvo lugar durante la vigencia del matrimonio. Se admite además que la disolución de la sociedad conyugal se produjo por el dictado de la sentencia de divorcio en fecha 14 de febrero de 2011, con efecto retroactivo al día de la notificación de la demanda, o sea el 25 de marzo de 2008 conforme arts 480 y 488 del CCCN y arts. 464 y 465 del CCCN.- </w:t>
      </w:r>
    </w:p>
    <w:p>
      <w:pPr>
        <w:pStyle w:val="[Normal]"/>
        <w:spacing w:line="360" w:lineRule="auto"/>
        <w:ind w:firstLine="1134"/>
        <w:jc w:val="both"/>
        <w:rPr>
          <w:lang w:val="es-AR" w:eastAsia="es-AR" w:bidi="es-AR"/>
        </w:rPr>
      </w:pPr>
      <w:r>
        <w:rPr>
          <w:lang w:val="es-AR" w:eastAsia="es-AR" w:bidi="es-AR"/>
        </w:rPr>
        <w:t xml:space="preserve">Todo ello ha sido declarado por el juez en su sentencia sin que sea necesario mayores explicaciones normativas.-</w:t>
      </w:r>
    </w:p>
    <w:p>
      <w:pPr>
        <w:pStyle w:val="[Normal]"/>
        <w:spacing w:line="360" w:lineRule="auto"/>
        <w:ind w:firstLine="1134"/>
        <w:jc w:val="both"/>
        <w:rPr>
          <w:lang w:val="es-AR" w:eastAsia="es-AR" w:bidi="es-AR"/>
        </w:rPr>
      </w:pPr>
      <w:r>
        <w:rPr>
          <w:lang w:val="es-AR" w:eastAsia="es-AR" w:bidi="es-AR"/>
        </w:rPr>
        <w:t xml:space="preserve">Respecto del canon locativo ya se ha dicho reiteradamente desde aquí que el supuesto en que procedería el pago de un canon locativo es aquel donde se verifique el uso exclusivo del esposo/a de un bien ganancial, contemplado por el art. 2691 del Cod. Civil, y ha sido receptado en doctrina y jurisprudencia que el esposo/esposa que usa con exclusividad un bien ganancial con posterioridad a la disolución de la sociedad conyugal pero antes de la división de esos bienes, debe compensar al otro por ese uso.-</w:t>
      </w:r>
    </w:p>
    <w:p>
      <w:pPr>
        <w:pStyle w:val="[Normal]"/>
        <w:spacing w:line="360" w:lineRule="auto"/>
        <w:ind w:firstLine="1134"/>
        <w:jc w:val="both"/>
        <w:rPr>
          <w:lang w:val="es-AR" w:eastAsia="es-AR" w:bidi="es-AR"/>
        </w:rPr>
      </w:pPr>
      <w:r>
        <w:rPr>
          <w:lang w:val="es-AR" w:eastAsia="es-AR" w:bidi="es-AR"/>
        </w:rPr>
        <w:t xml:space="preserve">El operador no ha denegado el pago del canon locativo,</w:t>
      </w:r>
      <w:r>
        <w:rPr>
          <w:b/>
          <w:lang w:val="es-AR" w:eastAsia="es-AR" w:bidi="es-AR"/>
        </w:rPr>
        <w:t xml:space="preserve"> </w:t>
      </w:r>
      <w:r>
        <w:rPr>
          <w:lang w:val="es-AR" w:eastAsia="es-AR" w:bidi="es-AR"/>
        </w:rPr>
        <w:t xml:space="preserve">sino que ha desprendido de las constancias de la causa que actualmente se encuentra viviendo en el inmueble mediante acta de constatación realizada en fecha 11/06/2025 el menor TBI con la Sra. O. (abuela del mismo) quien detenta la guarda del niño y que es nieto del actor, con lo cual sin denegar el pedido el operador ha supeditado la fijación del canon locativo a audiencia a celebrarse, utilizando sus facultades instructorias y ordenatorias.-</w:t>
      </w:r>
    </w:p>
    <w:p>
      <w:pPr>
        <w:pStyle w:val="[Normal]"/>
        <w:spacing w:line="360" w:lineRule="auto"/>
        <w:ind w:firstLine="1134"/>
        <w:jc w:val="both"/>
        <w:rPr>
          <w:lang w:val="es-AR" w:eastAsia="es-AR" w:bidi="es-AR"/>
        </w:rPr>
      </w:pPr>
      <w:r>
        <w:rPr>
          <w:lang w:val="es-AR" w:eastAsia="es-AR" w:bidi="es-AR"/>
        </w:rPr>
        <w:t xml:space="preserve">El agravio para ser recibido debe ser actual, no diferido ni eventual.-</w:t>
      </w:r>
    </w:p>
    <w:p>
      <w:pPr>
        <w:pStyle w:val="[Normal]"/>
        <w:spacing w:line="360" w:lineRule="auto"/>
        <w:ind w:firstLine="1134"/>
        <w:jc w:val="both"/>
        <w:rPr>
          <w:lang w:val="es-AR" w:eastAsia="es-AR" w:bidi="es-AR"/>
        </w:rPr>
      </w:pPr>
      <w:r>
        <w:rPr>
          <w:lang w:val="es-AR" w:eastAsia="es-AR" w:bidi="es-AR"/>
        </w:rPr>
        <w:t xml:space="preserve">Lo que se recomienda entonces al operador de grado es la fijación de dicha audiencia en el plazo más breve posible a los fines de establecer el valor locativo de dicho inmueble, más no se verifica el perjuicio que habilite la crítica recursiva.-</w:t>
      </w:r>
    </w:p>
    <w:p>
      <w:pPr>
        <w:pStyle w:val="[Normal]"/>
        <w:spacing w:line="360" w:lineRule="auto"/>
        <w:ind w:firstLine="1134"/>
        <w:jc w:val="both"/>
        <w:rPr>
          <w:lang w:val="es-AR" w:eastAsia="es-AR" w:bidi="es-AR"/>
        </w:rPr>
      </w:pPr>
      <w:r>
        <w:rPr>
          <w:lang w:val="es-AR" w:eastAsia="es-AR" w:bidi="es-AR"/>
        </w:rPr>
        <w:t xml:space="preserve">Respecto de los impuestos provinciales una vez concretada la partición del bien por la forma y el acto que las partes juzguen más conveniente se liquidarán los impuestos adeudados y a quien corresponde solventar los mismos desde las respectivas fechas (art. 2369 del CCCN).-</w:t>
      </w:r>
    </w:p>
    <w:p>
      <w:pPr>
        <w:pStyle w:val="[Normal]"/>
        <w:spacing w:line="360" w:lineRule="auto"/>
        <w:ind w:firstLine="1134"/>
        <w:jc w:val="both"/>
        <w:rPr>
          <w:lang w:val="es-AR" w:eastAsia="es-AR" w:bidi="es-AR"/>
        </w:rPr>
      </w:pPr>
      <w:r>
        <w:rPr>
          <w:lang w:val="es-AR" w:eastAsia="es-AR" w:bidi="es-AR"/>
        </w:rPr>
        <w:t xml:space="preserve">Las costas que vienen apeladas y han sido dispuestas por su orden, entiendo que han de confirmarse, en tanto la recepción de la petición fue parcial, lo mismo que las costas de Alzada las que se imponen en el orden causado (art 69/70 del CPCC).  Diferir los honorarios hasta tanto se regulen los de primera instancia (art. 27 inc a) ley 14967).-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Recomendar al operador de grado la fijación de una audiencia a la mayor brevedad a los fines de fijar el valor locativo del inmueble citado.-</w:t>
      </w:r>
    </w:p>
    <w:p>
      <w:pPr>
        <w:pStyle w:val="[Normal]"/>
        <w:spacing w:line="360" w:lineRule="auto"/>
        <w:ind w:firstLine="1134"/>
        <w:jc w:val="both"/>
        <w:rPr>
          <w:lang w:val="es-AR" w:eastAsia="es-AR" w:bidi="es-AR"/>
        </w:rPr>
      </w:pPr>
      <w:r>
        <w:rPr>
          <w:lang w:val="es-AR" w:eastAsia="es-AR" w:bidi="es-AR"/>
        </w:rPr>
        <w:t xml:space="preserve">Costas en el orden causado (art. 69/70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monto del juicio (art. 27 inc 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Recomendar al operador de grado la fijación de una audiencia a la mayor brevedad a los fines de fijar el valor locativo del inmueble citado.-</w:t>
      </w:r>
    </w:p>
    <w:p>
      <w:pPr>
        <w:pStyle w:val="[Normal]"/>
        <w:spacing w:line="360" w:lineRule="auto"/>
        <w:ind w:firstLine="1134"/>
        <w:jc w:val="both"/>
        <w:rPr>
          <w:lang w:val="es-AR" w:eastAsia="es-AR" w:bidi="es-AR"/>
        </w:rPr>
      </w:pPr>
      <w:r>
        <w:rPr>
          <w:lang w:val="es-AR" w:eastAsia="es-AR" w:bidi="es-AR"/>
        </w:rPr>
        <w:t xml:space="preserve">Costas en el orden causado (art. 69/70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monto del juicio (art. 27 inc 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