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b/>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i/>
          <w:color w:val="000000"/>
          <w:lang w:val="es-AR" w:eastAsia="es-AR" w:bidi="es-AR"/>
        </w:rPr>
        <w:t xml:space="preserve">1848-13</w:t>
      </w:r>
      <w:r>
        <w:rPr>
          <w:lang w:val="es-AR" w:eastAsia="es-AR" w:bidi="es-AR"/>
        </w:rPr>
        <w:t xml:space="preserve"> caratulados </w:t>
      </w:r>
      <w:r>
        <w:rPr>
          <w:b/>
          <w:i/>
          <w:lang w:val="es-AR" w:eastAsia="es-AR" w:bidi="es-AR"/>
        </w:rPr>
        <w:t xml:space="preserve">"</w:t>
      </w:r>
      <w:r>
        <w:rPr>
          <w:b/>
          <w:i/>
          <w:color w:val="000000"/>
          <w:lang w:val="es-AR" w:eastAsia="es-AR" w:bidi="es-AR"/>
        </w:rPr>
        <w:t xml:space="preserve">POBLITI  MONICA FERNANDA  Y OTROS C/VALENTINI CINTIA NATALI Y OTROS S/ PRESCRIPCION ADQUISITIVA VICENAL/USUCAPION (124)</w:t>
      </w:r>
      <w:r>
        <w:rPr>
          <w:b/>
          <w:i/>
          <w:lang w:val="es-AR" w:eastAsia="es-AR" w:bidi="es-AR"/>
        </w:rPr>
        <w:t xml:space="preserve">"</w:t>
      </w:r>
      <w:r>
        <w:rPr>
          <w:b/>
          <w:lang w:val="es-AR" w:eastAsia="es-AR" w:bidi="es-AR"/>
        </w:rPr>
        <w:t xml:space="preserve">,</w:t>
      </w:r>
      <w:r>
        <w:rPr>
          <w:lang w:val="es-AR" w:eastAsia="es-AR" w:bidi="es-AR"/>
        </w:rPr>
        <w:t xml:space="preserve"> Expte </w:t>
      </w:r>
      <w:r>
        <w:rPr>
          <w:color w:val="000000"/>
          <w:lang w:val="es-AR" w:eastAsia="es-AR" w:bidi="es-AR"/>
        </w:rPr>
        <w:t xml:space="preserve">55.438 </w:t>
      </w:r>
      <w:r>
        <w:rPr>
          <w:lang w:val="es-AR" w:eastAsia="es-AR" w:bidi="es-AR"/>
        </w:rPr>
        <w:t xml:space="preserve">del Juzgado en lo Civil y Comercial Nº 1, encontrándose excusado el Dr. Roberto Degleue a fojas 501, se ordenó la integración de este Tribunal y se practicó el sorteo de ley que determinó que la votación debía efectuarse en el siguiente orden: </w:t>
      </w:r>
      <w:r>
        <w:rPr>
          <w:color w:val="000000"/>
          <w:lang w:val="es-AR" w:eastAsia="es-AR" w:bidi="es-AR"/>
        </w:rPr>
        <w:t xml:space="preserve">Graciela Scaraffia y Renato Santore, </w:t>
      </w:r>
      <w:r>
        <w:rPr>
          <w:lang w:val="es-AR" w:eastAsia="es-AR" w:bidi="es-AR"/>
        </w:rPr>
        <w:t xml:space="preserve">estudiados los autos se resolvió plantear y votar las siguientes: </w:t>
      </w:r>
    </w:p>
    <w:p>
      <w:pPr>
        <w:pStyle w:val="[Normal]"/>
        <w:spacing w:line="360" w:lineRule="auto"/>
        <w:ind w:firstLine="1134"/>
        <w:jc w:val="both"/>
        <w:rPr>
          <w:color w:val="000000"/>
          <w:lang w:val="es-AR" w:eastAsia="es-AR" w:bidi="es-AR"/>
        </w:rPr>
      </w:pPr>
      <w:r>
        <w:rPr>
          <w:b/>
          <w:color w:val="000000"/>
          <w:lang w:val="es-AR" w:eastAsia="es-AR" w:bidi="es-AR"/>
        </w:rPr>
        <w:t xml:space="preserve">C U E S T I O N E S</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 en cuanto fuera motivo de agravio?.</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El Sr. Juez de la anterior instancia</w:t>
      </w:r>
      <w:r>
        <w:rPr>
          <w:lang w:val="es-AR" w:eastAsia="es-AR" w:bidi="es-AR"/>
        </w:rPr>
        <w:t xml:space="preserve"> falló la presente declarando operada la prescripción de los honorarios regulados en autos y sus aportes previsionales correspondientes al Dr. Pablo Horacio Dib. Asimismo declaró operada la prescripción respecto del derecho a que se le regulen honorarios en segunda y ulterior instancia a la Dra. Silvia Nélida Piaggio y al Dr. Pablo Horacio Dib. </w:t>
      </w:r>
    </w:p>
    <w:p>
      <w:pPr>
        <w:pStyle w:val="[Normal]"/>
        <w:spacing w:line="360" w:lineRule="auto"/>
        <w:ind w:firstLine="1134"/>
        <w:jc w:val="both"/>
        <w:rPr>
          <w:lang w:val="es-AR" w:eastAsia="es-AR" w:bidi="es-AR"/>
        </w:rPr>
      </w:pPr>
      <w:r>
        <w:rPr>
          <w:color w:val="000000"/>
          <w:lang w:val="es-AR" w:eastAsia="es-AR" w:bidi="es-AR"/>
        </w:rPr>
        <w:t xml:space="preserve">Tal decisorio fue objeto del recurso de apelación interpuesto el 24/6/25 por el Dr. Miguel Angel Archilla </w:t>
      </w:r>
      <w:r>
        <w:rPr>
          <w:lang w:val="es-AR" w:eastAsia="es-AR" w:bidi="es-AR"/>
        </w:rPr>
        <w:t xml:space="preserve">apoderado de la Caja de Previsión Social para abogados de la provincia de Buenos Aires , concedido el 27/6/25 en r</w:t>
      </w:r>
      <w:r>
        <w:rPr>
          <w:lang w:val="es-AR" w:eastAsia="es-AR" w:bidi="es-AR"/>
        </w:rPr>
        <w:t xml:space="preserve">elación y con efecto suspensivo,</w:t>
      </w:r>
      <w:r>
        <w:rPr>
          <w:lang w:val="es-AR" w:eastAsia="es-AR" w:bidi="es-AR"/>
        </w:rPr>
        <w:t xml:space="preserve"> y fundado el 1/7/25. Con fecha 4/7/25 se dió vista a las demás partes. El 15/7/25 Dra. Silvia N. Piaggio evacuó el traslado conferido. </w:t>
      </w:r>
    </w:p>
    <w:p>
      <w:pPr>
        <w:pStyle w:val="[Normal]"/>
        <w:spacing w:line="360" w:lineRule="auto"/>
        <w:ind w:firstLine="1134"/>
        <w:jc w:val="both"/>
        <w:rPr>
          <w:lang w:val="es-AR" w:eastAsia="es-AR" w:bidi="es-AR"/>
        </w:rPr>
      </w:pPr>
      <w:r>
        <w:rPr>
          <w:lang w:val="es-AR" w:eastAsia="es-AR" w:bidi="es-AR"/>
        </w:rPr>
        <w:t xml:space="preserve">Elevados los autos a esta Alzada con fecha 12/8/25 se llamó autos para sentencia, providencia que firme a la fecha deja la causa en condiciones ser fallada.</w:t>
      </w:r>
    </w:p>
    <w:p>
      <w:pPr>
        <w:pStyle w:val="[Normal]"/>
        <w:spacing w:line="360" w:lineRule="auto"/>
        <w:ind w:firstLine="1134"/>
        <w:jc w:val="both"/>
        <w:rPr>
          <w:lang w:val="es-AR" w:eastAsia="es-AR" w:bidi="es-AR"/>
        </w:rPr>
      </w:pPr>
      <w:r>
        <w:rPr>
          <w:lang w:val="es-AR" w:eastAsia="es-AR" w:bidi="es-AR"/>
        </w:rPr>
        <w:t xml:space="preserve">La recurrente se agravia de la resolución dictada el 19/6/25 que declaró prescriptos los aportes previsionales correspondientes a los honorarios regulados al Dr. Pablo Dib.</w:t>
      </w:r>
    </w:p>
    <w:p>
      <w:pPr>
        <w:pStyle w:val="[Normal]"/>
        <w:spacing w:line="360" w:lineRule="auto"/>
        <w:ind w:firstLine="1134"/>
        <w:jc w:val="both"/>
        <w:rPr>
          <w:lang w:val="es-AR" w:eastAsia="es-AR" w:bidi="es-AR"/>
        </w:rPr>
      </w:pPr>
      <w:r>
        <w:rPr>
          <w:lang w:val="es-AR" w:eastAsia="es-AR" w:bidi="es-AR"/>
        </w:rPr>
        <w:t xml:space="preserve">Sostiene que el fallo de grado incurre en errónea interpretación de la ley, pues declaró la prescripción sin que la Caja hubiera sido notificada de las regulaciones de honorarios, extremo que considera indispensable para el inicio del cómputo del plazo prescriptivo.</w:t>
      </w:r>
    </w:p>
    <w:p>
      <w:pPr>
        <w:pStyle w:val="[Normal]"/>
        <w:spacing w:line="360" w:lineRule="auto"/>
        <w:ind w:firstLine="1134"/>
        <w:jc w:val="both"/>
        <w:rPr>
          <w:lang w:val="es-AR" w:eastAsia="es-AR" w:bidi="es-AR"/>
        </w:rPr>
      </w:pPr>
      <w:r>
        <w:rPr>
          <w:lang w:val="es-AR" w:eastAsia="es-AR" w:bidi="es-AR"/>
        </w:rPr>
        <w:t xml:space="preserve">Expone que conforme el artículo 2554 del CCYCN, el término de prescripción comienza a correr desde que la prestación es exigible, y que tal exigibilidad sólo nace cuando el acreedor tiene conocimiento del crédito, lo que en el caso de la Caja ocurre a partir de su notificación fehaciente de la regulación de honorarios.</w:t>
      </w:r>
    </w:p>
    <w:p>
      <w:pPr>
        <w:pStyle w:val="[Normal]"/>
        <w:spacing w:line="360" w:lineRule="auto"/>
        <w:ind w:firstLine="1134"/>
        <w:jc w:val="both"/>
        <w:rPr>
          <w:lang w:val="es-AR" w:eastAsia="es-AR" w:bidi="es-AR"/>
        </w:rPr>
      </w:pPr>
      <w:r>
        <w:rPr>
          <w:lang w:val="es-AR" w:eastAsia="es-AR" w:bidi="es-AR"/>
        </w:rPr>
        <w:t xml:space="preserve">Considera que el criterio del a quo vulnera el espíritu del artículo 14 de la ley 6716, desfinancia el sistema previsional y afecta el patrimonio de la Caja, al liberar de hecho a los obligados del cumplimiento de sus aportes. Señala que la solución adoptada genera una válvula de escape económica para quienes deben realizar los pagos, y resulta contraria a los fines asistenciales y previsionales de la institución.</w:t>
      </w:r>
    </w:p>
    <w:p>
      <w:pPr>
        <w:pStyle w:val="[Normal]"/>
        <w:spacing w:line="360" w:lineRule="auto"/>
        <w:ind w:firstLine="1134"/>
        <w:jc w:val="both"/>
        <w:rPr>
          <w:lang w:val="es-AR" w:eastAsia="es-AR" w:bidi="es-AR"/>
        </w:rPr>
      </w:pPr>
      <w:r>
        <w:rPr>
          <w:lang w:val="es-AR" w:eastAsia="es-AR" w:bidi="es-AR"/>
        </w:rPr>
        <w:t xml:space="preserve">Cuestiona que el juez de grado resolvió que el plazo de prescripción de los honorarios regulados al Dr. Pablo Dib el 14/11/19 debía computarse desde la firmeza de su notificación, ocurrida el 28/11/19, y que el inicio del cómputo debía fijarse al día siguiente del vencimiento del plazo de sesenta días corridos previsto en el artículo 14 de la ley 6716 (t.o.), sin requerir para ello la previa notificación a la Caja de Previsión Social para Abogados de la Provincia de Buenos Aires.</w:t>
      </w:r>
    </w:p>
    <w:p>
      <w:pPr>
        <w:pStyle w:val="[Normal]"/>
        <w:spacing w:line="360" w:lineRule="auto"/>
        <w:ind w:firstLine="1134"/>
        <w:jc w:val="both"/>
        <w:rPr>
          <w:lang w:val="es-AR" w:eastAsia="es-AR" w:bidi="es-AR"/>
        </w:rPr>
      </w:pPr>
      <w:r>
        <w:rPr>
          <w:lang w:val="es-AR" w:eastAsia="es-AR" w:bidi="es-AR"/>
        </w:rPr>
        <w:t xml:space="preserve">Explica que dicho término tiene como finalidad determinar el modo de pago y el cálculo de intereses por mora, pero no puede considerarse el punto de partida de la prescripción de un derecho que la Caja desconoce, pues la institución carece de intervención en la generación y depósito de las boletas. De modo que, si no se le comunica la existencia del crédito, no puede tenerse por iniciada la prescripción por el mero transcurso del tiempo.</w:t>
      </w:r>
    </w:p>
    <w:p>
      <w:pPr>
        <w:pStyle w:val="[Normal]"/>
        <w:spacing w:line="360" w:lineRule="auto"/>
        <w:ind w:firstLine="1134"/>
        <w:jc w:val="both"/>
        <w:rPr>
          <w:lang w:val="es-AR" w:eastAsia="es-AR" w:bidi="es-AR"/>
        </w:rPr>
      </w:pPr>
      <w:r>
        <w:rPr>
          <w:lang w:val="es-AR" w:eastAsia="es-AR" w:bidi="es-AR"/>
        </w:rPr>
        <w:t xml:space="preserve">En ese marco, denuncia que nunca fue notificada de la regulación de honorarios del 14/11/19 ni de las eventuales intervenciones profesionales en Alzada, y que el juzgado de origen omitió toda consideración sobre ésta cuestión esencial, construyendo un razonamiento jurídico endeble que concluye en una decisión injusta y contraria al espíritu de la ley.</w:t>
      </w:r>
    </w:p>
    <w:p>
      <w:pPr>
        <w:pStyle w:val="[Normal]"/>
        <w:spacing w:line="360" w:lineRule="auto"/>
        <w:ind w:firstLine="1134"/>
        <w:jc w:val="both"/>
        <w:rPr>
          <w:lang w:val="es-AR" w:eastAsia="es-AR" w:bidi="es-AR"/>
        </w:rPr>
      </w:pPr>
      <w:r>
        <w:rPr>
          <w:lang w:val="es-AR" w:eastAsia="es-AR" w:bidi="es-AR"/>
        </w:rPr>
        <w:t xml:space="preserve">Invoca doctrina que interpreta el art. 2554 CCCN en sentido flexible, atendiendo al conocimiento efectivo del acreedor como presupuesto del inicio del plazo. Asimismo, cita jurisprudencia para remarcar que la obligación de aportar a la Caja no es accesoria del honorario profesional, sino autónoma e independiente, y que la prescripción debe ser interpretada de manera restrictiva en razón de su naturaleza de orden público.</w:t>
      </w:r>
    </w:p>
    <w:p>
      <w:pPr>
        <w:pStyle w:val="[Normal]"/>
        <w:spacing w:line="360" w:lineRule="auto"/>
        <w:ind w:firstLine="1134"/>
        <w:jc w:val="both"/>
        <w:rPr>
          <w:lang w:val="es-AR" w:eastAsia="es-AR" w:bidi="es-AR"/>
        </w:rPr>
      </w:pPr>
      <w:r>
        <w:rPr>
          <w:lang w:val="es-AR" w:eastAsia="es-AR" w:bidi="es-AR"/>
        </w:rPr>
        <w:t xml:space="preserve">Afirma que los juzgados tienen el deber legal (art. 23 ley 6716) de remitir las planillas de regulación a la Caja, pero que en el caso concreto no existe constancia alguna de haberse cumplido tal obligación, por lo que no puede presumirse conocimiento.</w:t>
      </w:r>
    </w:p>
    <w:p>
      <w:pPr>
        <w:pStyle w:val="[Normal]"/>
        <w:spacing w:line="360" w:lineRule="auto"/>
        <w:ind w:firstLine="1134"/>
        <w:jc w:val="both"/>
        <w:rPr>
          <w:lang w:val="es-AR" w:eastAsia="es-AR" w:bidi="es-AR"/>
        </w:rPr>
      </w:pPr>
      <w:r>
        <w:rPr>
          <w:lang w:val="es-AR" w:eastAsia="es-AR" w:bidi="es-AR"/>
        </w:rPr>
        <w:t xml:space="preserve">Aduce que exigir la notificación fehaciente de la Caja no altera el sistema legal sino que lo garantiza, evitando que los beneficiarios de la prescripción -por su propia omisión- se vean favorecidos en detrimento del organismo previsional. Denuncia que la conducta de quienes hoy invocan la prescripción -la Dra. Silvia Piaggio, solicitante, y el Dr. Pablo Dib, quien guardó silencio frente a ese pedido- constituye una afrenta a la teoría de los actos propios y configura un supuesto de evasión aportativa.</w:t>
      </w:r>
    </w:p>
    <w:p>
      <w:pPr>
        <w:pStyle w:val="[Normal]"/>
        <w:spacing w:line="360" w:lineRule="auto"/>
        <w:ind w:firstLine="1134"/>
        <w:jc w:val="both"/>
        <w:rPr>
          <w:lang w:val="es-AR" w:eastAsia="es-AR" w:bidi="es-AR"/>
        </w:rPr>
      </w:pPr>
      <w:r>
        <w:rPr>
          <w:lang w:val="es-AR" w:eastAsia="es-AR" w:bidi="es-AR"/>
        </w:rPr>
        <w:t xml:space="preserve">Invoca doctrina relativa a que el inicio del plazo se encuentra condicionado a su pleno conocimiento, previo anoticiamiento personal o por cédula a la totalidad de los interesados, y que no habiendo mediado tal comunicación, el plazo de prescripción nunca comenzó a correr, de modo que no puede declararse extinguida una obligación cuyo nacimiento fue desconocido por el acreedor.</w:t>
      </w:r>
    </w:p>
    <w:p>
      <w:pPr>
        <w:pStyle w:val="[Normal]"/>
        <w:spacing w:line="360" w:lineRule="auto"/>
        <w:ind w:firstLine="1134"/>
        <w:jc w:val="both"/>
        <w:rPr>
          <w:lang w:val="es-AR" w:eastAsia="es-AR" w:bidi="es-AR"/>
        </w:rPr>
      </w:pPr>
      <w:r>
        <w:rPr>
          <w:lang w:val="es-AR" w:eastAsia="es-AR" w:bidi="es-AR"/>
        </w:rPr>
        <w:t xml:space="preserve">Finalmente, plantea que el decisorio de grado carece de valor justicia, al convalidar una situación que -según alega- permite a los profesionales eludir el cumplimiento de sus deberes previsionales, afectando el capital del sistema y el principio de solidaridad que lo sustenta. </w:t>
      </w:r>
    </w:p>
    <w:p>
      <w:pPr>
        <w:pStyle w:val="[Normal]"/>
        <w:spacing w:line="360" w:lineRule="auto"/>
        <w:ind w:firstLine="1134"/>
        <w:jc w:val="both"/>
        <w:rPr>
          <w:lang w:val="es-AR" w:eastAsia="es-AR" w:bidi="es-AR"/>
        </w:rPr>
      </w:pPr>
      <w:r>
        <w:rPr>
          <w:lang w:val="es-AR" w:eastAsia="es-AR" w:bidi="es-AR"/>
        </w:rPr>
        <w:t xml:space="preserve">Solicita, en consecuencia, que se revoque la resolución apelada, declarándose que los aportes previsionales no se encuentran prescriptos, y se disponga la elevación de las actuaciones a fin de regular los honorarios de los letrados intervinientes ante la Suprema Corte de Justicia de la Provincia de Buenos Aires.</w:t>
      </w:r>
    </w:p>
    <w:p>
      <w:pPr>
        <w:pStyle w:val="[Normal]"/>
        <w:spacing w:line="360" w:lineRule="auto"/>
        <w:ind w:firstLine="1134"/>
        <w:jc w:val="both"/>
        <w:rPr>
          <w:lang w:val="es-AR" w:eastAsia="es-AR" w:bidi="es-AR"/>
        </w:rPr>
      </w:pPr>
      <w:r>
        <w:rPr>
          <w:lang w:val="es-AR" w:eastAsia="es-AR" w:bidi="es-AR"/>
        </w:rPr>
        <w:t xml:space="preserve">La contraria, al contestar el traslado conferido, impetra el rechazo de la pieza recursiva deducida.</w:t>
      </w:r>
    </w:p>
    <w:p>
      <w:pPr>
        <w:pStyle w:val="[Normal]"/>
        <w:spacing w:line="360" w:lineRule="auto"/>
        <w:ind w:firstLine="1134"/>
        <w:jc w:val="both"/>
        <w:rPr>
          <w:lang w:val="es-AR" w:eastAsia="es-AR" w:bidi="es-AR"/>
        </w:rPr>
      </w:pPr>
      <w:r>
        <w:rPr>
          <w:lang w:val="es-AR" w:eastAsia="es-AR" w:bidi="es-AR"/>
        </w:rPr>
        <w:t xml:space="preserve">La cuestión traída a conocimiento de ésta Alzada se circunscribe exclusivamente a determinar desde cuándo debe computarse el plazo de prescripción de los aportes previsionales derivados de los honorarios regulados al Dr. Pablo Dib en la sentencia de primera instancia de fecha 14/11/19.</w:t>
      </w:r>
    </w:p>
    <w:p>
      <w:pPr>
        <w:pStyle w:val="[Normal]"/>
        <w:spacing w:line="360" w:lineRule="auto"/>
        <w:ind w:firstLine="1134"/>
        <w:jc w:val="both"/>
        <w:rPr>
          <w:lang w:val="es-AR" w:eastAsia="es-AR" w:bidi="es-AR"/>
        </w:rPr>
      </w:pPr>
      <w:r>
        <w:rPr>
          <w:lang w:val="es-AR" w:eastAsia="es-AR" w:bidi="es-AR"/>
        </w:rPr>
        <w:t xml:space="preserve">No se encuentra en discusión la prescripción de los honorarios propiamente dichos ni de los estipendios de alzada, pues tales extremos no fueron materia de apelación, por lo que se encuentran firmes (arts. 260, 266 y 272 del CPCC).</w:t>
      </w:r>
    </w:p>
    <w:p>
      <w:pPr>
        <w:pStyle w:val="[Normal]"/>
        <w:spacing w:line="360" w:lineRule="auto"/>
        <w:ind w:firstLine="1134"/>
        <w:jc w:val="both"/>
        <w:rPr>
          <w:lang w:val="es-AR" w:eastAsia="es-AR" w:bidi="es-AR"/>
        </w:rPr>
      </w:pPr>
      <w:r>
        <w:rPr>
          <w:lang w:val="es-AR" w:eastAsia="es-AR" w:bidi="es-AR"/>
        </w:rPr>
        <w:t xml:space="preserve">Corresponde entonces analizar si, conforme al marco legal aplicable, se encuentra operada la prescripción.</w:t>
      </w:r>
    </w:p>
    <w:p>
      <w:pPr>
        <w:pStyle w:val="[Normal]"/>
        <w:spacing w:line="360" w:lineRule="auto"/>
        <w:ind w:firstLine="1134"/>
        <w:jc w:val="both"/>
        <w:rPr>
          <w:lang w:val="es-AR" w:eastAsia="es-AR" w:bidi="es-AR"/>
        </w:rPr>
      </w:pPr>
      <w:r>
        <w:rPr>
          <w:lang w:val="es-AR" w:eastAsia="es-AR" w:bidi="es-AR"/>
        </w:rPr>
        <w:t xml:space="preserve">El art. 14 de la ley 6716 dispone que los profesionales intervinientes deberán efectuar los aportes dentro de los sesenta días corridos contados desde la firmeza del auto regulatorio, bajo apercibimiento de aplicarse intereses.</w:t>
      </w:r>
    </w:p>
    <w:p>
      <w:pPr>
        <w:pStyle w:val="[Normal]"/>
        <w:spacing w:line="360" w:lineRule="auto"/>
        <w:ind w:firstLine="1134"/>
        <w:jc w:val="both"/>
        <w:rPr>
          <w:lang w:val="es-AR" w:eastAsia="es-AR" w:bidi="es-AR"/>
        </w:rPr>
      </w:pPr>
      <w:r>
        <w:rPr>
          <w:lang w:val="es-AR" w:eastAsia="es-AR" w:bidi="es-AR"/>
        </w:rPr>
        <w:t xml:space="preserve">Por su parte, el art. 2560 del CCYCN fija en cinco años el plazo genérico de prescripción, mientras que el art. 2554 establece que el mismo comienza a correr desde que la prestación es exigible.</w:t>
      </w:r>
    </w:p>
    <w:p>
      <w:pPr>
        <w:pStyle w:val="[Normal]"/>
        <w:spacing w:line="360" w:lineRule="auto"/>
        <w:ind w:firstLine="1134"/>
        <w:jc w:val="both"/>
        <w:rPr>
          <w:lang w:val="es-AR" w:eastAsia="es-AR" w:bidi="es-AR"/>
        </w:rPr>
      </w:pPr>
      <w:r>
        <w:rPr>
          <w:lang w:val="es-AR" w:eastAsia="es-AR" w:bidi="es-AR"/>
        </w:rPr>
        <w:t xml:space="preserve">Desde este mirar, coincido con el juez de grado en cuanto a que el cómputo del plazo prescriptivo respecto de los aportes previsionales comienza al día siguiente del vencimiento del plazo de sesenta días establecido en el art. 14 de la ley 6716, con independencia de que la Caja haya sido notificada o no de la regulación.</w:t>
      </w:r>
    </w:p>
    <w:p>
      <w:pPr>
        <w:pStyle w:val="[Normal]"/>
        <w:spacing w:line="360" w:lineRule="auto"/>
        <w:ind w:firstLine="1134"/>
        <w:jc w:val="both"/>
        <w:rPr>
          <w:lang w:val="es-AR" w:eastAsia="es-AR" w:bidi="es-AR"/>
        </w:rPr>
      </w:pPr>
      <w:r>
        <w:rPr>
          <w:lang w:val="es-AR" w:eastAsia="es-AR" w:bidi="es-AR"/>
        </w:rPr>
        <w:t xml:space="preserve">En tal sentido, se ha dicho que </w:t>
      </w:r>
      <w:r>
        <w:rPr>
          <w:i/>
          <w:lang w:val="es-AR" w:eastAsia="es-AR" w:bidi="es-AR"/>
        </w:rPr>
        <w:t xml:space="preserve">"Por aplicación del artículo 2554 del Código Civil y Comercial y de la ley 6.716 el curso de la prescripción en materia de aportes previsionales sobre honorarios debe fijarse el día siguiente al del vencimiento del plazo de 60 días corridos, contados desde la firmeza el auto regulatorio, sin que sea necesario para dotarlo de esa calidad o para que comience a correr, la previa notificación de éste a la Caja de Previsión Social para Abogados de la Provincia de Buenos Aires. Exigir tal requerimiento implicaría alterar el sistema previsto por el código de fondo supeditando el comienzo del plazo de prescripción al cumplimiento de una exigencia procesal que no ha sido establecida por el ordenamiento ritual ni por la ley de fondo"</w:t>
      </w:r>
      <w:r>
        <w:rPr>
          <w:lang w:val="es-AR" w:eastAsia="es-AR" w:bidi="es-AR"/>
        </w:rPr>
        <w:t xml:space="preserve"> (CC0003 SM 76032 D-360/2019 S 03/12/2019;CC0102 MP 178737 76 S 12/04/2024 Juez LOUSTAUNAU (MA) JUBA B5093380).</w:t>
      </w:r>
    </w:p>
    <w:p>
      <w:pPr>
        <w:pStyle w:val="[Normal]"/>
        <w:spacing w:line="360" w:lineRule="auto"/>
        <w:ind w:firstLine="1134"/>
        <w:jc w:val="both"/>
        <w:rPr>
          <w:lang w:val="es-AR" w:eastAsia="es-AR" w:bidi="es-AR"/>
        </w:rPr>
      </w:pPr>
      <w:r>
        <w:rPr>
          <w:lang w:val="es-AR" w:eastAsia="es-AR" w:bidi="es-AR"/>
        </w:rPr>
        <w:t xml:space="preserve">Este criterio se funda en la autonomía e independencia entre la obligación de pagar honorarios y la obligación de ingresar los aportes previsionales, ambas sujetas a sus propios plazos extintivos, y en el carácter objetivo del instituto de la prescripción: el tiempo corre desde que el derecho puede ser ejercido, sin supeditarlo al conocimiento subjetivo del acreedor.</w:t>
      </w:r>
    </w:p>
    <w:p>
      <w:pPr>
        <w:pStyle w:val="[Normal]"/>
        <w:spacing w:line="360" w:lineRule="auto"/>
        <w:ind w:firstLine="1134"/>
        <w:jc w:val="both"/>
        <w:rPr>
          <w:lang w:val="es-AR" w:eastAsia="es-AR" w:bidi="es-AR"/>
        </w:rPr>
      </w:pPr>
      <w:r>
        <w:rPr>
          <w:lang w:val="es-AR" w:eastAsia="es-AR" w:bidi="es-AR"/>
        </w:rPr>
        <w:t xml:space="preserve">De las constancias de la causa surge que los honorarios del Dr. Pablo Dib fueron regulados el 14/11/19 y notificados el 28/11/19.</w:t>
      </w:r>
    </w:p>
    <w:p>
      <w:pPr>
        <w:pStyle w:val="[Normal]"/>
        <w:spacing w:line="360" w:lineRule="auto"/>
        <w:ind w:firstLine="1134"/>
        <w:jc w:val="both"/>
        <w:rPr>
          <w:lang w:val="es-AR" w:eastAsia="es-AR" w:bidi="es-AR"/>
        </w:rPr>
      </w:pPr>
      <w:r>
        <w:rPr>
          <w:lang w:val="es-AR" w:eastAsia="es-AR" w:bidi="es-AR"/>
        </w:rPr>
        <w:t xml:space="preserve">Contra dicho auto regulatorio, el profesional de referencia interpuso recurso de apelación el 6/12/19, el cual fue declarado desierto el 13/10/21 por falta de expresión de agravios.</w:t>
      </w:r>
    </w:p>
    <w:p>
      <w:pPr>
        <w:pStyle w:val="[Normal]"/>
        <w:spacing w:line="360" w:lineRule="auto"/>
        <w:ind w:firstLine="1134"/>
        <w:jc w:val="both"/>
        <w:rPr>
          <w:lang w:val="es-AR" w:eastAsia="es-AR" w:bidi="es-AR"/>
        </w:rPr>
      </w:pPr>
      <w:r>
        <w:rPr>
          <w:lang w:val="es-AR" w:eastAsia="es-AR" w:bidi="es-AR"/>
        </w:rPr>
        <w:t xml:space="preserve">En consecuencia, la regulación adquirió firmeza en esa última fecha -13/10/21-.</w:t>
      </w:r>
    </w:p>
    <w:p>
      <w:pPr>
        <w:pStyle w:val="[Normal]"/>
        <w:spacing w:line="360" w:lineRule="auto"/>
        <w:ind w:firstLine="1134"/>
        <w:jc w:val="both"/>
        <w:rPr>
          <w:lang w:val="es-AR" w:eastAsia="es-AR" w:bidi="es-AR"/>
        </w:rPr>
      </w:pPr>
      <w:r>
        <w:rPr>
          <w:lang w:val="es-AR" w:eastAsia="es-AR" w:bidi="es-AR"/>
        </w:rPr>
        <w:t xml:space="preserve">Como se adelantara, los profesionales deben ingresar los aportes dentro del plazo de sesenta días corridos contados desde la firmeza de la regulación (art. 14 de la ley 6716).</w:t>
      </w:r>
    </w:p>
    <w:p>
      <w:pPr>
        <w:pStyle w:val="[Normal]"/>
        <w:spacing w:line="360" w:lineRule="auto"/>
        <w:ind w:firstLine="1134"/>
        <w:jc w:val="both"/>
        <w:rPr>
          <w:lang w:val="es-AR" w:eastAsia="es-AR" w:bidi="es-AR"/>
        </w:rPr>
      </w:pPr>
      <w:r>
        <w:rPr>
          <w:lang w:val="es-AR" w:eastAsia="es-AR" w:bidi="es-AR"/>
        </w:rPr>
        <w:t xml:space="preserve">Por ende, el crédito previsional se tornó exigible -a los efectos del art. 2554 CCyCN- al día siguiente del vencimiento de dicho término, esto es el 14/12/21.</w:t>
      </w:r>
    </w:p>
    <w:p>
      <w:pPr>
        <w:pStyle w:val="[Normal]"/>
        <w:spacing w:line="360" w:lineRule="auto"/>
        <w:ind w:firstLine="1134"/>
        <w:jc w:val="both"/>
        <w:rPr>
          <w:lang w:val="es-AR" w:eastAsia="es-AR" w:bidi="es-AR"/>
        </w:rPr>
      </w:pPr>
      <w:r>
        <w:rPr>
          <w:lang w:val="es-AR" w:eastAsia="es-AR" w:bidi="es-AR"/>
        </w:rPr>
        <w:t xml:space="preserve">Que, a partir de esa fecha, comenzó a correr el plazo de prescripción de cinco años previsto en el art. 2560 CCyCN.</w:t>
      </w:r>
    </w:p>
    <w:p>
      <w:pPr>
        <w:pStyle w:val="[Normal]"/>
        <w:spacing w:line="360" w:lineRule="auto"/>
        <w:ind w:firstLine="1134"/>
        <w:jc w:val="both"/>
        <w:rPr>
          <w:lang w:val="es-AR" w:eastAsia="es-AR" w:bidi="es-AR"/>
        </w:rPr>
      </w:pPr>
      <w:r>
        <w:rPr>
          <w:lang w:val="es-AR" w:eastAsia="es-AR" w:bidi="es-AR"/>
        </w:rPr>
        <w:t xml:space="preserve">Por lo tanto, al dictarse la sentencia apelada -19/06/25-, no habían transcurrido cinco años completos, motivo por el cual no se configuró la prescripción.</w:t>
      </w:r>
    </w:p>
    <w:p>
      <w:pPr>
        <w:pStyle w:val="[Normal]"/>
        <w:spacing w:line="360" w:lineRule="auto"/>
        <w:ind w:firstLine="1134"/>
        <w:jc w:val="both"/>
        <w:rPr>
          <w:lang w:val="es-AR" w:eastAsia="es-AR" w:bidi="es-AR"/>
        </w:rPr>
      </w:pPr>
      <w:r>
        <w:rPr>
          <w:lang w:val="es-AR" w:eastAsia="es-AR" w:bidi="es-AR"/>
        </w:rPr>
        <w:t xml:space="preserve">El razonamiento del a quo aparece desacertado, pues computó el inicio del plazo prescriptivo desde la notificación de la regulación -noviembre de 2019-, ignorando la pendencia del recurso de apelación y la firmeza posterior.</w:t>
      </w:r>
    </w:p>
    <w:p>
      <w:pPr>
        <w:pStyle w:val="[Normal]"/>
        <w:spacing w:line="360" w:lineRule="auto"/>
        <w:ind w:firstLine="1134"/>
        <w:jc w:val="both"/>
        <w:rPr>
          <w:lang w:val="es-AR" w:eastAsia="es-AR" w:bidi="es-AR"/>
        </w:rPr>
      </w:pPr>
      <w:r>
        <w:rPr>
          <w:lang w:val="es-AR" w:eastAsia="es-AR" w:bidi="es-AR"/>
        </w:rPr>
        <w:t xml:space="preserve">Tal interpretación desconoce la regla legal según la cual la prescripción sólo corre desde que la prestación es exigible (art. 2554 CCyCN), lo que en materia de aportes previsionales ocurre luego de firme la regulación de honorarios y vencido el término legal de pago (art. 14 ley 6716).</w:t>
      </w:r>
    </w:p>
    <w:p>
      <w:pPr>
        <w:pStyle w:val="[Normal]"/>
        <w:spacing w:line="360" w:lineRule="auto"/>
        <w:ind w:firstLine="1134"/>
        <w:jc w:val="both"/>
        <w:rPr>
          <w:lang w:val="es-AR" w:eastAsia="es-AR" w:bidi="es-AR"/>
        </w:rPr>
      </w:pPr>
      <w:r>
        <w:rPr>
          <w:lang w:val="es-AR" w:eastAsia="es-AR" w:bidi="es-AR"/>
        </w:rPr>
        <w:t xml:space="preserve">La alegación de la Caja sobre la falta de notificación directa no altera el cómputo objetivo previsto por la normativa vigente. Esto no depende de un planteo de parte, sino de una cuestión de orden público que debe ser meritada aún de oficio, vinculada a la determinación objetiva del momento de exigibilidad.</w:t>
      </w:r>
    </w:p>
    <w:p>
      <w:pPr>
        <w:pStyle w:val="[Normal]"/>
        <w:spacing w:line="360" w:lineRule="auto"/>
        <w:ind w:firstLine="1134"/>
        <w:jc w:val="both"/>
        <w:rPr>
          <w:lang w:val="es-AR" w:eastAsia="es-AR" w:bidi="es-AR"/>
        </w:rPr>
      </w:pPr>
      <w:r>
        <w:rPr>
          <w:lang w:val="es-AR" w:eastAsia="es-AR" w:bidi="es-AR"/>
        </w:rPr>
        <w:t xml:space="preserve">En consecuencia, corresponde revocar la sentencia apelada en cuanto declaró prescriptos los aportes previsionales correspondientes a los honorarios regulados al Dr. Pablo Dib, debiendo dejarse sin efecto dicha declaración, por no hallarse transcurrido el plazo prescriptivo.</w:t>
      </w:r>
    </w:p>
    <w:p>
      <w:pPr>
        <w:pStyle w:val="[Normal]"/>
        <w:spacing w:line="360" w:lineRule="auto"/>
        <w:ind w:firstLine="1134"/>
        <w:jc w:val="both"/>
        <w:rPr>
          <w:color w:val="000000"/>
          <w:lang w:val="es-AR" w:eastAsia="es-AR" w:bidi="es-AR"/>
        </w:rPr>
      </w:pPr>
      <w:r>
        <w:rPr>
          <w:color w:val="000000"/>
          <w:lang w:val="es-AR" w:eastAsia="es-AR" w:bidi="es-AR"/>
        </w:rPr>
        <w:t xml:space="preserve">Por su parte, en relación con el pedido de elevación de la causa a efectos de la regulación de honorarios por los trabajos ante la SCBA, cabe destacar que el apelante no ha formulado agravios concretos ni fundamentos jurídicos respecto de la prescripción ya declarada de los honorarios de instancias futuras, limitándose exclusivamente a cuestionar la prescripción de los aportes previsionales. Por ello, no corresponde la intervención de esta Alzada sobre la regulación solicitada.</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NEGATIVA</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Renato Santore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y en su mérito revocar el decisorio puesto en crisis </w:t>
      </w:r>
      <w:r>
        <w:rPr>
          <w:lang w:val="es-AR" w:eastAsia="es-AR" w:bidi="es-AR"/>
        </w:rPr>
        <w:t xml:space="preserve">en cuanto declaró prescriptos los aportes previsionales correspondientes a los honorarios regulados al Dr. Pablo Dib</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Costas a la apelada vencida</w:t>
      </w:r>
      <w:r>
        <w:rPr>
          <w:b/>
          <w:color w:val="000000"/>
          <w:lang w:val="es-AR" w:eastAsia="es-AR" w:bidi="es-AR"/>
        </w:rPr>
        <w:t xml:space="preserve"> </w:t>
      </w:r>
      <w:r>
        <w:rPr>
          <w:color w:val="000000"/>
          <w:lang w:val="es-AR" w:eastAsia="es-AR" w:bidi="es-AR"/>
        </w:rPr>
        <w:t xml:space="preserve">(art. 68 CPCC).</w:t>
      </w:r>
    </w:p>
    <w:p>
      <w:pPr>
        <w:pStyle w:val="[Normal]"/>
        <w:spacing w:line="360" w:lineRule="auto"/>
        <w:ind w:firstLine="1134"/>
        <w:jc w:val="both"/>
        <w:rPr>
          <w:color w:val="000000"/>
          <w:lang w:val="es-AR" w:eastAsia="es-AR" w:bidi="es-AR"/>
        </w:rPr>
      </w:pPr>
      <w:r>
        <w:rPr>
          <w:b/>
          <w:color w:val="000000"/>
          <w:lang w:val="es-AR" w:eastAsia="es-AR" w:bidi="es-AR"/>
        </w:rPr>
        <w:t xml:space="preserve">ASI LO VOTO</w:t>
      </w:r>
      <w:r>
        <w:rPr>
          <w:color w:val="000000"/>
          <w:lang w:val="es-AR" w:eastAsia="es-AR" w:bidi="es-AR"/>
        </w:rPr>
        <w:t xml:space="preserve">.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Renato Santore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r>
        <w:rPr>
          <w:color w:val="000000"/>
          <w:u w:val="single"/>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y en su mérito revocar el decisorio puesto en crisis </w:t>
      </w:r>
      <w:r>
        <w:rPr>
          <w:lang w:val="es-AR" w:eastAsia="es-AR" w:bidi="es-AR"/>
        </w:rPr>
        <w:t xml:space="preserve">en cuanto declaró prescriptos los aportes previsionales correspondientes a los honorarios regulados al Dr. Pablo Dib</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Costas a la apelada vencida (arts. 68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27061798337@NOTIFICACIONES.SCBA.GOV.AR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20217740364@NOTIFICACIONES.SCBA.GOV.AR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20132282456@CDA.NOTIFICACIONES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10:20:59 -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11:35:07 - SANTORE Renato Eduardo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12:16:34 -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‰98")è&amp;cQt3Š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252402090006674984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18/11/2025 12:16:45 hs. bajo el número RS-168-2025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