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5767-25</w:t>
      </w:r>
      <w:r>
        <w:rPr>
          <w:lang w:val="es-AR" w:eastAsia="es-AR" w:bidi="es-AR"/>
        </w:rPr>
        <w:t xml:space="preserve"> caratulada </w:t>
      </w:r>
      <w:r>
        <w:rPr>
          <w:b/>
          <w:lang w:val="es-AR" w:eastAsia="es-AR" w:bidi="es-AR"/>
        </w:rPr>
        <w:t xml:space="preserve">"</w:t>
      </w:r>
      <w:r>
        <w:rPr>
          <w:b/>
          <w:color w:val="000000"/>
          <w:lang w:val="es-AR" w:eastAsia="es-AR" w:bidi="es-AR"/>
        </w:rPr>
        <w:t xml:space="preserve">ANTONIO C GIACOMA Y CIA SACI Y A C/ CAPRIOTTI MARIANO HERNAN FORTUNATO Y OTROS S/ ACCION REIVINDICATORIA</w:t>
      </w:r>
      <w:r>
        <w:rPr>
          <w:b/>
          <w:lang w:val="es-AR" w:eastAsia="es-AR" w:bidi="es-AR"/>
        </w:rPr>
        <w:t xml:space="preserve">"</w:t>
      </w:r>
      <w:r>
        <w:rPr>
          <w:lang w:val="es-AR" w:eastAsia="es-AR" w:bidi="es-AR"/>
        </w:rPr>
        <w:t xml:space="preserve">, Expte. N° 78763</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Juez de la anterior instancia rechazó el pedido de prórroga para presentar el plano de mensura y tuvo por desistida la pretensión reconvencional articulada por la parte demandada reconviniente, con costas a su cargo.</w:t>
      </w:r>
    </w:p>
    <w:p>
      <w:pPr>
        <w:pStyle w:val="[Normal]"/>
        <w:spacing w:line="360" w:lineRule="auto"/>
        <w:ind w:firstLine="1134"/>
        <w:jc w:val="both"/>
        <w:rPr>
          <w:lang w:val="es-AR" w:eastAsia="es-AR" w:bidi="es-AR"/>
        </w:rPr>
      </w:pPr>
      <w:r>
        <w:rPr>
          <w:lang w:val="es-AR" w:eastAsia="es-AR" w:bidi="es-AR"/>
        </w:rPr>
        <w:t xml:space="preserve">Para así decidir consideró que el plano de mensura es un requisito para sostener una pretensión de usucapión ya sea por vía de acción o por intermedio de una reconvención.-</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demandada reconviniente el 10-6-2025, presentando el memorial de agravios el 26-6-2025. Habiendo la parte actora reconvenida contestado el traslado conferido el 15-7-2025.-</w:t>
      </w:r>
    </w:p>
    <w:p>
      <w:pPr>
        <w:pStyle w:val="[Normal]"/>
        <w:spacing w:line="360" w:lineRule="auto"/>
        <w:ind w:firstLine="1134"/>
        <w:jc w:val="both"/>
        <w:rPr>
          <w:lang w:val="es-AR" w:eastAsia="es-AR" w:bidi="es-AR"/>
        </w:rPr>
      </w:pPr>
      <w:r>
        <w:rPr>
          <w:lang w:val="es-AR" w:eastAsia="es-AR" w:bidi="es-AR"/>
        </w:rPr>
        <w:t xml:space="preserve">Elevados los autos a esta Alzada con fecha 4-8-2025 se dicta el llamamiento de autos para resolver, providencia que estando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Centran su crítica los quejosos en el desistimiento de la reconvención por usucapión al rechazar el a quo la prórroga solicitada para presentar el plano de mensura.-</w:t>
      </w:r>
    </w:p>
    <w:p>
      <w:pPr>
        <w:pStyle w:val="[Normal]"/>
        <w:spacing w:line="360" w:lineRule="auto"/>
        <w:ind w:firstLine="1134"/>
        <w:jc w:val="both"/>
        <w:rPr>
          <w:lang w:val="es-AR" w:eastAsia="es-AR" w:bidi="es-AR"/>
        </w:rPr>
      </w:pPr>
      <w:r>
        <w:rPr>
          <w:lang w:val="es-AR" w:eastAsia="es-AR" w:bidi="es-AR"/>
        </w:rPr>
        <w:t xml:space="preserve">Afirman que la decisión vulnera garantías constitucionales de defensa en juicio, acceso a la justicia y derecho de propiedad, además de desconocer los principios de congruencia, razonabilidad y preclusión, al dejar sin efecto actos procesales cumplidos en tiempo y forma, debidamente consentidos.-</w:t>
      </w:r>
    </w:p>
    <w:p>
      <w:pPr>
        <w:pStyle w:val="[Normal]"/>
        <w:spacing w:line="360" w:lineRule="auto"/>
        <w:ind w:firstLine="1134"/>
        <w:jc w:val="both"/>
        <w:rPr>
          <w:lang w:val="es-AR" w:eastAsia="es-AR" w:bidi="es-AR"/>
        </w:rPr>
      </w:pPr>
      <w:r>
        <w:rPr>
          <w:lang w:val="es-AR" w:eastAsia="es-AR" w:bidi="es-AR"/>
        </w:rPr>
        <w:t xml:space="preserve">Señalan que la reconvención fue oportunamente deducida, que se acompañaron proyectos de plano y se ofreció la prueba pericial de agrimensura admitida por el a quo, hallándose aún vigente el período probatorio.-</w:t>
      </w:r>
    </w:p>
    <w:p>
      <w:pPr>
        <w:pStyle w:val="[Normal]"/>
        <w:spacing w:line="360" w:lineRule="auto"/>
        <w:ind w:firstLine="1134"/>
        <w:jc w:val="both"/>
        <w:rPr>
          <w:lang w:val="es-AR" w:eastAsia="es-AR" w:bidi="es-AR"/>
        </w:rPr>
      </w:pPr>
      <w:r>
        <w:rPr>
          <w:lang w:val="es-AR" w:eastAsia="es-AR" w:bidi="es-AR"/>
        </w:rPr>
        <w:t xml:space="preserve"> Explican que el plazo de diez días otorgado para presentar el plano resulta irrazonable, ya que su confección, visado y certificación demandan, según informe actuarial y estimación técnica, aproximadamente dos años, circunstancia ajena a su voluntad.-</w:t>
      </w:r>
    </w:p>
    <w:p>
      <w:pPr>
        <w:pStyle w:val="[Normal]"/>
        <w:spacing w:line="360" w:lineRule="auto"/>
        <w:ind w:firstLine="1134"/>
        <w:jc w:val="both"/>
        <w:rPr>
          <w:lang w:val="es-AR" w:eastAsia="es-AR" w:bidi="es-AR"/>
        </w:rPr>
      </w:pPr>
      <w:r>
        <w:rPr>
          <w:lang w:val="es-AR" w:eastAsia="es-AR" w:bidi="es-AR"/>
        </w:rPr>
        <w:t xml:space="preserve">Destacan asimismo su conducta procesal diligente, acreditada con la gestión de presupuesto ante profesional matriculado, la promoción del beneficio de litigar sin gastos y el pedido de prórroga formulado, lo que excluye toda desidia.- </w:t>
      </w:r>
    </w:p>
    <w:p>
      <w:pPr>
        <w:pStyle w:val="[Normal]"/>
        <w:spacing w:line="360" w:lineRule="auto"/>
        <w:ind w:firstLine="1134"/>
        <w:jc w:val="both"/>
        <w:rPr>
          <w:lang w:val="es-AR" w:eastAsia="es-AR" w:bidi="es-AR"/>
        </w:rPr>
      </w:pPr>
      <w:r>
        <w:rPr>
          <w:lang w:val="es-AR" w:eastAsia="es-AR" w:bidi="es-AR"/>
        </w:rPr>
        <w:t xml:space="preserve">Ponen de relieve que el rechazo de la reconvención frustra el tratamiento de la pretensión sustancial fundada en más de cincuenta años de posesión pacífica, pública e ininterrumpida del inmueble por la familia Capriotti.-</w:t>
      </w:r>
    </w:p>
    <w:p>
      <w:pPr>
        <w:pStyle w:val="[Normal]"/>
        <w:spacing w:line="360" w:lineRule="auto"/>
        <w:ind w:firstLine="1134"/>
        <w:jc w:val="both"/>
        <w:rPr>
          <w:lang w:val="es-AR" w:eastAsia="es-AR" w:bidi="es-AR"/>
        </w:rPr>
      </w:pPr>
      <w:r>
        <w:rPr>
          <w:lang w:val="es-AR" w:eastAsia="es-AR" w:bidi="es-AR"/>
        </w:rPr>
        <w:t xml:space="preserve"> Solicitan la revocación del auto apelado y el reconocimiento de la subsistencia de la reconvención teniendo por suplida la exigencia del plano mediante la prueba pericial de agrimensura ya ordenada.-</w:t>
      </w:r>
    </w:p>
    <w:p>
      <w:pPr>
        <w:pStyle w:val="[Normal]"/>
        <w:spacing w:line="360" w:lineRule="auto"/>
        <w:ind w:firstLine="1134"/>
        <w:jc w:val="both"/>
        <w:rPr>
          <w:lang w:val="es-AR" w:eastAsia="es-AR" w:bidi="es-AR"/>
        </w:rPr>
      </w:pPr>
      <w:r>
        <w:rPr>
          <w:lang w:val="es-AR" w:eastAsia="es-AR" w:bidi="es-AR"/>
        </w:rPr>
        <w:t xml:space="preserve">A su turno la parte actora refuta los argumentos vertidos por la contraria.-</w:t>
      </w:r>
    </w:p>
    <w:p>
      <w:pPr>
        <w:pStyle w:val="[Normal]"/>
        <w:spacing w:line="360" w:lineRule="auto"/>
        <w:ind w:firstLine="1134"/>
        <w:jc w:val="both"/>
        <w:rPr>
          <w:lang w:val="es-AR" w:eastAsia="es-AR" w:bidi="es-AR"/>
        </w:rPr>
      </w:pPr>
      <w:r>
        <w:rPr>
          <w:lang w:val="es-AR" w:eastAsia="es-AR" w:bidi="es-AR"/>
        </w:rPr>
        <w:t xml:space="preserve">Entrando a resolver, adelanto que el recurso de apelación entablado por la demandada reconviniente no puede prosperar.-</w:t>
      </w:r>
    </w:p>
    <w:p>
      <w:pPr>
        <w:pStyle w:val="[Normal]"/>
        <w:spacing w:line="360" w:lineRule="auto"/>
        <w:ind w:firstLine="1134"/>
        <w:jc w:val="both"/>
        <w:rPr>
          <w:lang w:val="es-AR" w:eastAsia="es-AR" w:bidi="es-AR"/>
        </w:rPr>
      </w:pPr>
      <w:r>
        <w:rPr>
          <w:lang w:val="es-AR" w:eastAsia="es-AR" w:bidi="es-AR"/>
        </w:rPr>
        <w:t xml:space="preserve">Esta Alzada (como ha hecho expresa mención la parte actora en su escrito de contestación del traslado de fecha 12-5-2025) ya ha tenido la oportunidad de expedirse en un caso análogo, causa N° 3409-18 caratulada "Magnone Gerardo Néstor C/ Capra Doris y Otros S/ Acción Reivindicatoria" de 13-11-2018 RSD 170/2018 sobre las consecuencias que acarrea el inicio de la acción de usucapión o como en el caso de autos la reconvención por usucapion sin presentar el correspondiente plano de mensura, preceptos que debo reiterar.</w:t>
      </w:r>
    </w:p>
    <w:p>
      <w:pPr>
        <w:pStyle w:val="[Normal]"/>
        <w:spacing w:line="360" w:lineRule="auto"/>
        <w:ind w:firstLine="1134"/>
        <w:jc w:val="both"/>
        <w:rPr>
          <w:lang w:val="es-AR" w:eastAsia="es-AR" w:bidi="es-AR"/>
        </w:rPr>
      </w:pPr>
      <w:r>
        <w:rPr>
          <w:lang w:val="es-AR" w:eastAsia="es-AR" w:bidi="es-AR"/>
        </w:rPr>
        <w:t xml:space="preserve">Allí, se ha sostenido que la presentación del plano de mensura firmado por profesional competente y visado por la autoridad técnica correspondiente constituye un requisito procesal obligatorio y previo para la admisibilidad de la demanda de usucapión, tanto cuando se promueve como demanda principal como cuando se plantea por vía de reconvención.</w:t>
      </w:r>
    </w:p>
    <w:p>
      <w:pPr>
        <w:pStyle w:val="[Normal]"/>
        <w:spacing w:line="360" w:lineRule="auto"/>
        <w:ind w:firstLine="1134"/>
        <w:jc w:val="both"/>
        <w:rPr>
          <w:lang w:val="es-AR" w:eastAsia="es-AR" w:bidi="es-AR"/>
        </w:rPr>
      </w:pPr>
      <w:r>
        <w:rPr>
          <w:lang w:val="es-AR" w:eastAsia="es-AR" w:bidi="es-AR"/>
        </w:rPr>
        <w:t xml:space="preserve">En tal sentido, se ha señalado que tanto el artículo 679 del CPCC como el artículo 24 inciso b) de la Ley Catastral N° 14.159 imponen de manera expresa la obligación de acompañar al momento de interponer la demanda el plano de mensura que determine el área, linderos y ubicación del inmueble, suscripto por profesional matriculado y aprobado por la autoridad técnica respectiva.</w:t>
      </w:r>
    </w:p>
    <w:p>
      <w:pPr>
        <w:pStyle w:val="[Normal]"/>
        <w:spacing w:line="360" w:lineRule="auto"/>
        <w:ind w:firstLine="1134"/>
        <w:jc w:val="both"/>
        <w:rPr>
          <w:lang w:val="es-AR" w:eastAsia="es-AR" w:bidi="es-AR"/>
        </w:rPr>
      </w:pPr>
      <w:r>
        <w:rPr>
          <w:lang w:val="es-AR" w:eastAsia="es-AR" w:bidi="es-AR"/>
        </w:rPr>
        <w:t xml:space="preserve">La Cámara ha entendido que la letra de la norma es de carácter imperativo y que el cumplimiento de dicho recaudo no es facultativo ni puede suplirse mediante otras probanzas, toda vez que el plano de mensura cumple una función sustancial, esto es, permite la precisa individualización geográfica y geométrica del bien cuya adquisición se pretende, constituyendo un elemento esencial para la correcta delimitación del objeto del proceso.</w:t>
      </w:r>
    </w:p>
    <w:p>
      <w:pPr>
        <w:pStyle w:val="[Normal]"/>
        <w:spacing w:line="360" w:lineRule="auto"/>
        <w:ind w:firstLine="1134"/>
        <w:jc w:val="both"/>
        <w:rPr>
          <w:lang w:val="es-AR" w:eastAsia="es-AR" w:bidi="es-AR"/>
        </w:rPr>
      </w:pPr>
      <w:r>
        <w:rPr>
          <w:lang w:val="es-AR" w:eastAsia="es-AR" w:bidi="es-AR"/>
        </w:rPr>
        <w:t xml:space="preserve">Asimismo, se ha destacado que la verificación de los requisitos de admisibilidad de la demanda debe preceder al examen de su fundabilidad, de modo que la falta de acompañamiento del plano impide ingresar al tratamiento del fondo de la pretensión.</w:t>
      </w:r>
    </w:p>
    <w:p>
      <w:pPr>
        <w:pStyle w:val="[Normal]"/>
        <w:spacing w:line="360" w:lineRule="auto"/>
        <w:ind w:firstLine="1134"/>
        <w:jc w:val="both"/>
        <w:rPr>
          <w:lang w:val="es-AR" w:eastAsia="es-AR" w:bidi="es-AR"/>
        </w:rPr>
      </w:pPr>
      <w:r>
        <w:rPr>
          <w:lang w:val="es-AR" w:eastAsia="es-AR" w:bidi="es-AR"/>
        </w:rPr>
        <w:t xml:space="preserve">Este criterio se encuentra en línea con la doctrina legal establecida por la Suprema Corte de Justicia de la Provincia de Buenos Aires en los precedentes “Méndez Varela de García Costa, María Carmen y otros contra Barbosa Piñeiro, Catalina. Usucapión” (Ac. 65.540, sent. del 1-12-1998), “Alsua o Alsua y Grisetti, Celina Juana y otros contra Municipalidad de Laprida. Usucapión. Nulidad de título</w:t>
      </w:r>
      <w:r>
        <w:rPr>
          <w:i/>
          <w:lang w:val="es-AR" w:eastAsia="es-AR" w:bidi="es-AR"/>
        </w:rPr>
        <w:t xml:space="preserve">" </w:t>
      </w:r>
      <w:r>
        <w:rPr>
          <w:lang w:val="es-AR" w:eastAsia="es-AR" w:bidi="es-AR"/>
        </w:rPr>
        <w:t xml:space="preserve">(C. 98.183, sent. del 11-11-2009) y “Yacht Club Argentino c/ Municipalidad de San Fernando”, en los cuales se reafirmó que la omisión del plano de mensura torna inadmisible la acción de prescripción adquisitiva, al tratarse de una condición procesal de orden público para el progreso de la demanda.</w:t>
      </w:r>
    </w:p>
    <w:p>
      <w:pPr>
        <w:pStyle w:val="[Normal]"/>
        <w:spacing w:line="360" w:lineRule="auto"/>
        <w:ind w:firstLine="1134"/>
        <w:jc w:val="both"/>
        <w:rPr>
          <w:lang w:val="es-AR" w:eastAsia="es-AR" w:bidi="es-AR"/>
        </w:rPr>
      </w:pPr>
      <w:r>
        <w:rPr>
          <w:lang w:val="es-AR" w:eastAsia="es-AR" w:bidi="es-AR"/>
        </w:rPr>
        <w:t xml:space="preserve">A mayor abundamiento, procederé a introducir a continuación ciertas precisiones complementarias sobre el caso particular que estimo necesarias para una mayor claridad en la resolución del caso.-</w:t>
      </w:r>
    </w:p>
    <w:p>
      <w:pPr>
        <w:pStyle w:val="[Normal]"/>
        <w:spacing w:line="360" w:lineRule="auto"/>
        <w:ind w:firstLine="1134"/>
        <w:jc w:val="both"/>
        <w:rPr>
          <w:lang w:val="es-AR" w:eastAsia="es-AR" w:bidi="es-AR"/>
        </w:rPr>
      </w:pPr>
      <w:r>
        <w:rPr>
          <w:lang w:val="es-AR" w:eastAsia="es-AR" w:bidi="es-AR"/>
        </w:rPr>
        <w:t xml:space="preserve">Como primer punto, corresponde señalar que los demandados reconvinientes sostienen que la decisión dictada por el a quo los ha dejado en situación de desamparo e indefensión. Sin embargo, de las constancias de autos surge que al advertirse la inexistencia del plano de mensura, lejos de desestimar sin más la pretensión, hizo uso de las facultades ordenatorias que le confiere el artículo 34 del mismo cuerpo normativo, otorgando un plazo de diez (10) días para cumplir con el requisito.-</w:t>
      </w:r>
    </w:p>
    <w:p>
      <w:pPr>
        <w:pStyle w:val="[Normal]"/>
        <w:spacing w:line="360" w:lineRule="auto"/>
        <w:ind w:firstLine="1134"/>
        <w:jc w:val="both"/>
        <w:rPr>
          <w:lang w:val="es-AR" w:eastAsia="es-AR" w:bidi="es-AR"/>
        </w:rPr>
      </w:pPr>
      <w:r>
        <w:rPr>
          <w:lang w:val="es-AR" w:eastAsia="es-AR" w:bidi="es-AR"/>
        </w:rPr>
        <w:t xml:space="preserve">La queja del recurrente también se asienta sobre en la imposibilidad de cumplir con dicho plazo, solicitando su ampliación con sustento en el informe del Actuario de fecha 24 de abril de 2025, en el cual informa que, según lo manifestado telefónicamente por el perito Azzaro, la confección del plano de mensura requerido podría insumir un lapso superior a dos años.-</w:t>
      </w:r>
    </w:p>
    <w:p>
      <w:pPr>
        <w:pStyle w:val="[Normal]"/>
        <w:spacing w:line="360" w:lineRule="auto"/>
        <w:ind w:firstLine="1134"/>
        <w:jc w:val="both"/>
        <w:rPr>
          <w:lang w:val="es-AR" w:eastAsia="es-AR" w:bidi="es-AR"/>
        </w:rPr>
      </w:pPr>
      <w:r>
        <w:rPr>
          <w:lang w:val="es-AR" w:eastAsia="es-AR" w:bidi="es-AR"/>
        </w:rPr>
        <w:t xml:space="preserve">No obstante lo expuesto, de la revisión efectuada a través del sistema de Mesa de Entradas Virtual (MEV) se advierte que los apelantes promovieron con fecha 25 de septiembre de 2023, un proceso de usucapión en el cual únicamente obra la demanda, sin que se advierta acompañada documentación alguna relativa al plano de mensura.</w:t>
      </w:r>
    </w:p>
    <w:p>
      <w:pPr>
        <w:pStyle w:val="[Normal]"/>
        <w:spacing w:line="360" w:lineRule="auto"/>
        <w:ind w:firstLine="1134"/>
        <w:jc w:val="both"/>
        <w:rPr>
          <w:lang w:val="es-AR" w:eastAsia="es-AR" w:bidi="es-AR"/>
        </w:rPr>
      </w:pPr>
      <w:r>
        <w:rPr>
          <w:lang w:val="es-AR" w:eastAsia="es-AR" w:bidi="es-AR"/>
        </w:rPr>
        <w:t xml:space="preserve">Cabe concluir entonces, que habiendo transcurrido más de dos años desde el inicio de dichas actuaciones (plazo que los propios interesados señalaron como necesario para la elaboración del plano), la parte demandada no ha aportado elemento de convicción alguno que permita acreditar que el mismo se encuentra, al menos, en etapa de elaboración.-</w:t>
      </w:r>
    </w:p>
    <w:p>
      <w:pPr>
        <w:pStyle w:val="[Normal]"/>
        <w:spacing w:line="360" w:lineRule="auto"/>
        <w:ind w:firstLine="1134"/>
        <w:jc w:val="both"/>
        <w:rPr>
          <w:lang w:val="es-AR" w:eastAsia="es-AR" w:bidi="es-AR"/>
        </w:rPr>
      </w:pPr>
      <w:r>
        <w:rPr>
          <w:lang w:val="es-AR" w:eastAsia="es-AR" w:bidi="es-AR"/>
        </w:rPr>
        <w:t xml:space="preserve">En suma la exigencia de este recaudo en tiempo oportuno no puede reputarse un excesivo rigor formal, en tanto su cumplimiento coadyuva al resguardo de derechos, principios y valores tutelados por el ordenamiento jurídico.-</w:t>
      </w:r>
    </w:p>
    <w:p>
      <w:pPr>
        <w:pStyle w:val="[Normal]"/>
        <w:spacing w:line="360" w:lineRule="auto"/>
        <w:ind w:firstLine="1134"/>
        <w:jc w:val="both"/>
        <w:rPr>
          <w:lang w:val="es-AR" w:eastAsia="es-AR" w:bidi="es-AR"/>
        </w:rPr>
      </w:pPr>
      <w:r>
        <w:rPr>
          <w:lang w:val="es-AR" w:eastAsia="es-AR" w:bidi="es-AR"/>
        </w:rPr>
        <w:t xml:space="preserve">En virtud de lo expuesto entiendo que los argumentos esgrimidos por el Juez de Primera Instancia que fundamentan el rechazo in limine de la pretensión reconvencional se mantienen incólumes.-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demandada reconviniente y en su mérito confirmar el decisorio de grado.-</w:t>
      </w:r>
    </w:p>
    <w:p>
      <w:pPr>
        <w:pStyle w:val="[Normal]"/>
        <w:spacing w:line="360" w:lineRule="auto"/>
        <w:ind w:firstLine="1134"/>
        <w:jc w:val="both"/>
        <w:rPr>
          <w:lang w:val="es-AR" w:eastAsia="es-AR" w:bidi="es-AR"/>
        </w:rPr>
      </w:pPr>
      <w:r>
        <w:rPr>
          <w:lang w:val="es-AR" w:eastAsia="es-AR" w:bidi="es-AR"/>
        </w:rPr>
        <w:t xml:space="preserve">Imponer costas de Alzada a los apelantes vencidos (Art 68/9 CPCC).-</w:t>
      </w:r>
    </w:p>
    <w:p>
      <w:pPr>
        <w:pStyle w:val="[Normal]"/>
        <w:spacing w:line="360" w:lineRule="auto"/>
        <w:ind w:firstLine="1134"/>
        <w:jc w:val="both"/>
        <w:rPr>
          <w:lang w:val="es-AR" w:eastAsia="es-AR" w:bidi="es-AR"/>
        </w:rPr>
      </w:pPr>
      <w:r>
        <w:rPr>
          <w:lang w:val="es-AR" w:eastAsia="es-AR" w:bidi="es-AR"/>
        </w:rPr>
        <w:t xml:space="preserve">Diferir regulación de honorarios para su oportunidad (Art 31 ley 14.967).- </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demandada reconviniente y en su mérito confirmar el decisorio de grado.-</w:t>
      </w:r>
    </w:p>
    <w:p>
      <w:pPr>
        <w:pStyle w:val="[Normal]"/>
        <w:spacing w:line="360" w:lineRule="auto"/>
        <w:ind w:firstLine="1134"/>
        <w:jc w:val="both"/>
        <w:rPr>
          <w:lang w:val="es-AR" w:eastAsia="es-AR" w:bidi="es-AR"/>
        </w:rPr>
      </w:pPr>
      <w:r>
        <w:rPr>
          <w:lang w:val="es-AR" w:eastAsia="es-AR" w:bidi="es-AR"/>
        </w:rPr>
        <w:t xml:space="preserve">Imponer costas de Alzada a los apelantes vencidos (Art 68/9 CPCC).-</w:t>
      </w:r>
    </w:p>
    <w:p>
      <w:pPr>
        <w:pStyle w:val="[Normal]"/>
        <w:spacing w:line="360" w:lineRule="auto"/>
        <w:ind w:firstLine="1134"/>
        <w:jc w:val="both"/>
        <w:rPr>
          <w:lang w:val="es-AR" w:eastAsia="es-AR" w:bidi="es-AR"/>
        </w:rPr>
      </w:pPr>
      <w:r>
        <w:rPr>
          <w:lang w:val="es-AR" w:eastAsia="es-AR" w:bidi="es-AR"/>
        </w:rPr>
        <w:t xml:space="preserve">Diferir regulación de honorarios para su oportunidad (Art 31 ley 14.967).- </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10:26:49 -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11:06:27 -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11:10:08 -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‰8-")è&amp;aY85Š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241302090006655724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11/11/2025 11:10:31 hs. bajo el número RS-156-2025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