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5320-24</w:t>
      </w:r>
      <w:r>
        <w:rPr>
          <w:lang w:val="es-AR" w:eastAsia="es-AR" w:bidi="es-AR"/>
        </w:rPr>
        <w:t xml:space="preserve"> caratulada </w:t>
      </w:r>
      <w:r>
        <w:rPr>
          <w:b/>
          <w:lang w:val="es-AR" w:eastAsia="es-AR" w:bidi="es-AR"/>
        </w:rPr>
        <w:t xml:space="preserve">"</w:t>
      </w:r>
      <w:r>
        <w:rPr>
          <w:b/>
          <w:color w:val="000000"/>
          <w:lang w:val="es-AR" w:eastAsia="es-AR" w:bidi="es-AR"/>
        </w:rPr>
        <w:t xml:space="preserve">A. A. V.  C/ S. G. M. S/ LIQUIDACION DE LA COMUNIDAD</w:t>
      </w:r>
      <w:r>
        <w:rPr>
          <w:b/>
          <w:lang w:val="es-AR" w:eastAsia="es-AR" w:bidi="es-AR"/>
        </w:rPr>
        <w:t xml:space="preserve">"</w:t>
      </w:r>
      <w:r>
        <w:rPr>
          <w:lang w:val="es-AR" w:eastAsia="es-AR" w:bidi="es-AR"/>
        </w:rPr>
        <w:t xml:space="preserve">, Expte. </w:t>
      </w:r>
      <w:r>
        <w:rPr>
          <w:color w:val="000000"/>
          <w:lang w:val="es-AR" w:eastAsia="es-AR" w:bidi="es-AR"/>
        </w:rPr>
        <w:t xml:space="preserve">N°22.404</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de Familia Nº 1 de Pergamino</w:t>
      </w:r>
      <w:r>
        <w:rPr>
          <w:lang w:val="es-AR" w:eastAsia="es-AR" w:bidi="es-AR"/>
        </w:rPr>
        <w:t xml:space="preserve">, se practicó el sorteo de ley que determinó que la votación debía efectuarse en el siguiente orden:  </w:t>
      </w:r>
      <w:r>
        <w:rPr>
          <w:color w:val="000000"/>
          <w:lang w:val="es-AR" w:eastAsia="es-AR" w:bidi="es-AR"/>
        </w:rPr>
        <w:t xml:space="preserve">Roberto Manuel Degleue y Graciela Scaraffia</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Roberto Manuel Degleue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magistrado de primera instancia mediante el decisorio atacado  reguló los honorarios profesionales del perito arquitecta xxxxx en la suma de un millón setecientos ocho mil pesos ($1.708.000) tomando como base la suma de dolares setenta mil (USD 70.000), monto que surge de la valuación del inmueble realizada por la profesional de la arquitectura. A los fines de convertir tal suma a pesos, tomó como base el dólar oficial para las operaciones de compra</w:t>
      </w:r>
      <w:r>
        <w:rPr>
          <w:b/>
          <w:lang w:val="es-AR" w:eastAsia="es-AR" w:bidi="es-AR"/>
        </w:rPr>
        <w:t xml:space="preserve"> </w:t>
      </w:r>
      <w:r>
        <w:rPr>
          <w:lang w:val="es-AR" w:eastAsia="es-AR" w:bidi="es-AR"/>
        </w:rPr>
        <w:t xml:space="preserve">del Banco Provincia de Buenos Aires a la fecha de la resolución ($1.220), arrojando una suma que asciende a $85.400.000. </w:t>
      </w:r>
    </w:p>
    <w:p>
      <w:pPr>
        <w:pStyle w:val="[Normal]"/>
        <w:spacing w:line="360" w:lineRule="auto"/>
        <w:ind w:firstLine="1134"/>
        <w:jc w:val="both"/>
        <w:rPr>
          <w:lang w:val="es-AR" w:eastAsia="es-AR" w:bidi="es-AR"/>
        </w:rPr>
      </w:pPr>
      <w:r>
        <w:rPr>
          <w:lang w:val="es-AR" w:eastAsia="es-AR" w:bidi="es-AR"/>
        </w:rPr>
        <w:t xml:space="preserve">De ello se agravia el</w:t>
      </w:r>
      <w:r>
        <w:rPr>
          <w:b/>
          <w:lang w:val="es-AR" w:eastAsia="es-AR" w:bidi="es-AR"/>
        </w:rPr>
        <w:t xml:space="preserve"> </w:t>
      </w:r>
      <w:r>
        <w:rPr>
          <w:lang w:val="es-AR" w:eastAsia="es-AR" w:bidi="es-AR"/>
        </w:rPr>
        <w:t xml:space="preserve">demandado, quien considera que la resolución en crisis se basa en una valuación desactualizada correspondiente al año 2019. Señala que dicho valor ha sido actualizado indebidamente al dólar vigente ($1.220). Sostiene que acompañó oportunamente una valuación actualizada del año 2025, emitida por la inmobiliaria “L.F.” por U$S 38.000.</w:t>
      </w:r>
    </w:p>
    <w:p>
      <w:pPr>
        <w:pStyle w:val="[Normal]"/>
        <w:spacing w:line="360" w:lineRule="auto"/>
        <w:ind w:firstLine="1134"/>
        <w:jc w:val="both"/>
        <w:rPr>
          <w:lang w:val="es-AR" w:eastAsia="es-AR" w:bidi="es-AR"/>
        </w:rPr>
      </w:pPr>
      <w:r>
        <w:rPr>
          <w:lang w:val="es-AR" w:eastAsia="es-AR" w:bidi="es-AR"/>
        </w:rPr>
        <w:t xml:space="preserve">Agrega que la otra tasación adjuntada por la contraria, perteneciente a la inmobiliaria “xxxx” lo valuó en el mes de mayo de 2025 y arrojó una suma de U$S 45.000. Añade que el promedio real, contemplando ambas valuaciones es de U$S 41.000, un valor muy inferior al tomado por el juzgado.</w:t>
      </w:r>
    </w:p>
    <w:p>
      <w:pPr>
        <w:pStyle w:val="[Normal]"/>
        <w:spacing w:line="360" w:lineRule="auto"/>
        <w:ind w:firstLine="1134"/>
        <w:jc w:val="both"/>
        <w:rPr>
          <w:lang w:val="es-AR" w:eastAsia="es-AR" w:bidi="es-AR"/>
        </w:rPr>
      </w:pPr>
      <w:r>
        <w:rPr>
          <w:lang w:val="es-AR" w:eastAsia="es-AR" w:bidi="es-AR"/>
        </w:rPr>
        <w:t xml:space="preserve">Por otro lado afirma que los valores de mercado en Colón (Bs. As.) han disminuido y que, en consecuencia, la regulación de honorarios basada en una valuación irreal resulta abusiva y desconectada de la realidad. Solicita la revocación de resolución atacada, tomando como base el valor del inmueble en u$s 38.000.</w:t>
      </w:r>
    </w:p>
    <w:p>
      <w:pPr>
        <w:pStyle w:val="[Normal]"/>
        <w:spacing w:line="360" w:lineRule="auto"/>
        <w:ind w:firstLine="1134"/>
        <w:jc w:val="both"/>
        <w:rPr>
          <w:lang w:val="es-AR" w:eastAsia="es-AR" w:bidi="es-AR"/>
        </w:rPr>
      </w:pPr>
      <w:r>
        <w:rPr>
          <w:lang w:val="es-AR" w:eastAsia="es-AR" w:bidi="es-AR"/>
        </w:rPr>
        <w:t xml:space="preserve">La parte contraria al contestar el traslado conferido señala que al ser el demandado el condenado en costas y tratarse de una regulación a favor de la perito arquitecta, corresponde que sea ésta quien lo evacue.</w:t>
      </w:r>
    </w:p>
    <w:p>
      <w:pPr>
        <w:pStyle w:val="[Normal]"/>
        <w:spacing w:line="360" w:lineRule="auto"/>
        <w:ind w:firstLine="1134"/>
        <w:jc w:val="both"/>
        <w:rPr>
          <w:lang w:val="es-AR" w:eastAsia="es-AR" w:bidi="es-AR"/>
        </w:rPr>
      </w:pPr>
      <w:r>
        <w:rPr>
          <w:lang w:val="es-AR" w:eastAsia="es-AR" w:bidi="es-AR"/>
        </w:rPr>
        <w:t xml:space="preserve">En fecha 15-7-2025 se ordenó el traslado pertinente a la perito, el cual quedó incontestado conforme providencia del 29-8-2025.</w:t>
      </w:r>
    </w:p>
    <w:p>
      <w:pPr>
        <w:pStyle w:val="[Normal]"/>
        <w:spacing w:line="360" w:lineRule="auto"/>
        <w:ind w:firstLine="1134"/>
        <w:jc w:val="both"/>
        <w:rPr>
          <w:b/>
          <w:lang w:val="es-AR" w:eastAsia="es-AR" w:bidi="es-AR"/>
        </w:rPr>
      </w:pPr>
      <w:r>
        <w:rPr>
          <w:lang w:val="es-AR" w:eastAsia="es-AR" w:bidi="es-AR"/>
        </w:rPr>
        <w:t xml:space="preserve">Entrando a resolver, advierto que el agravio principal del recurrente se centra en cuestionar la base regulatoria estimada por el a quo para regular los estipendios profesionales correspondientes a la perito arquitecta xxxxx</w:t>
      </w:r>
      <w:r>
        <w:rPr>
          <w:b/>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En referencia a aquello he de destacar que la normativa aplicable a las labores realizadas en sede judicial por la mencionada profesional resulta ser el Decreto 6964/1965. Específicamente en su Título Primero el articulo 16 dispone que "</w:t>
      </w:r>
      <w:r>
        <w:rPr>
          <w:i/>
          <w:lang w:val="es-AR" w:eastAsia="es-AR" w:bidi="es-AR"/>
        </w:rPr>
        <w:t xml:space="preserve">Para la aplicación del arancel en cuanto se refiere a los valores en juego en los asuntos judiciales, se tendrán en cuenta los que se den por sentencia definitiva; a falta de ésta, venta o remate; a falta de éstos, se recurrirá a las valuaciones fiscales, aumentadas en un 25 por ciento; y cuando no se determinaren, el Consejo Profesional de la Ingeniería los deducirá de los antecedentes. Podrán, asimismo, los profesionales, pedir, a este solo efecto, la actualización de los valores".</w:t>
      </w:r>
    </w:p>
    <w:p>
      <w:pPr>
        <w:pStyle w:val="[Normal]"/>
        <w:spacing w:line="360" w:lineRule="auto"/>
        <w:ind w:firstLine="1134"/>
        <w:jc w:val="both"/>
        <w:rPr>
          <w:lang w:val="es-AR" w:eastAsia="es-AR" w:bidi="es-AR"/>
        </w:rPr>
      </w:pPr>
      <w:r>
        <w:rPr>
          <w:lang w:val="es-AR" w:eastAsia="es-AR" w:bidi="es-AR"/>
        </w:rPr>
        <w:t xml:space="preserve">Al respecto se debe señalar que "</w:t>
      </w:r>
      <w:r>
        <w:rPr>
          <w:i/>
          <w:lang w:val="es-AR" w:eastAsia="es-AR" w:bidi="es-AR"/>
        </w:rPr>
        <w:t xml:space="preserve">El orden de prelación que de allí surge marca que los honorarios por dictámenes periciales emitidos en sede judicial no guardan relación con el valor de lo reclamado ni con el valor de aquello que se exige tasar, computar, etc., sino con el monto por el cual prospera la sentencia definitiva. Por eso, ante dictámenes de gran dificultad, resulta conveniente formular oportunamente al Juez y a las partes (se diría que junto con la solicitud de anticipo para gastos) la prevención a la que alude el artículo que aquí se comenta"</w:t>
      </w:r>
      <w:r>
        <w:rPr>
          <w:lang w:val="es-AR" w:eastAsia="es-AR" w:bidi="es-AR"/>
        </w:rPr>
        <w:t xml:space="preserve">. ( Bertone, Sergio “Arancel para la profesión de arquitecto", Editado por CAPBA, año 2019, pag 36. Recuperado el 7-11-2025 de (https://capbaiv.org/downloads/archivos/Libro_Arancel_Arquitecto_2da_edicion_Sergio_Bertone.pdf)".</w:t>
      </w:r>
    </w:p>
    <w:p>
      <w:pPr>
        <w:pStyle w:val="[Normal]"/>
        <w:spacing w:line="360" w:lineRule="auto"/>
        <w:ind w:firstLine="1134"/>
        <w:jc w:val="both"/>
        <w:rPr>
          <w:lang w:val="es-AR" w:eastAsia="es-AR" w:bidi="es-AR"/>
        </w:rPr>
      </w:pPr>
      <w:r>
        <w:rPr>
          <w:lang w:val="es-AR" w:eastAsia="es-AR" w:bidi="es-AR"/>
        </w:rPr>
        <w:t xml:space="preserve">En el caso de marras nos encontramos con una sentencia definitiva dictada por ésta Cámara de fecha 15-10-2024, la cual está firme y consentida pero no establece un valor económico concreto del único bien inmueble objeto del pleito. </w:t>
      </w:r>
    </w:p>
    <w:p>
      <w:pPr>
        <w:pStyle w:val="[Normal]"/>
        <w:spacing w:line="360" w:lineRule="auto"/>
        <w:ind w:firstLine="1134"/>
        <w:jc w:val="both"/>
        <w:rPr>
          <w:lang w:val="es-AR" w:eastAsia="es-AR" w:bidi="es-AR"/>
        </w:rPr>
      </w:pPr>
      <w:r>
        <w:rPr>
          <w:lang w:val="es-AR" w:eastAsia="es-AR" w:bidi="es-AR"/>
        </w:rPr>
        <w:t xml:space="preserve">Frente a esta panorama fáctico y existiendo la previsión legal específica que regula el supuesto de autos, entiendo que la regulación de honorarios atacada debió ajustarse a lo normado por el articulo 16 citado antecedentemente en lo que respecta a la determinación de una base arancelaria que permita justipreciar la labor de la profesional.</w:t>
      </w:r>
    </w:p>
    <w:p>
      <w:pPr>
        <w:pStyle w:val="[Normal]"/>
        <w:spacing w:line="360" w:lineRule="auto"/>
        <w:ind w:firstLine="1134"/>
        <w:jc w:val="both"/>
        <w:rPr>
          <w:lang w:val="es-AR" w:eastAsia="es-AR" w:bidi="es-AR"/>
        </w:rPr>
      </w:pPr>
      <w:r>
        <w:rPr>
          <w:lang w:val="es-AR" w:eastAsia="es-AR" w:bidi="es-AR"/>
        </w:rPr>
        <w:t xml:space="preserve">Por lo expuesto, el planteo formulado por el quejoso en vistas a modificar la fuente regulatoria debe prosperar, por lo que propongo al acuerdo dejar sin efecto la resolución recurrida.</w:t>
      </w:r>
    </w:p>
    <w:p>
      <w:pPr>
        <w:pStyle w:val="[Normal]"/>
        <w:spacing w:line="360" w:lineRule="auto"/>
        <w:ind w:firstLine="1134"/>
        <w:jc w:val="both"/>
        <w:rPr>
          <w:lang w:val="es-AR" w:eastAsia="es-AR" w:bidi="es-AR"/>
        </w:rPr>
      </w:pPr>
      <w:r>
        <w:rPr>
          <w:lang w:val="es-AR" w:eastAsia="es-AR" w:bidi="es-AR"/>
        </w:rPr>
        <w:t xml:space="preserve">En consecuencia, corresponde dejar sin efecto los honorarios regulados en favor de la perito arquitecta xxxxxxx debiendo el magistrado de primera instancia estarse a lo dispuesto por el art. 16 y ccs. del Decreto 6965/1695.</w:t>
      </w:r>
    </w:p>
    <w:p>
      <w:pPr>
        <w:pStyle w:val="[Normal]"/>
        <w:spacing w:line="360" w:lineRule="auto"/>
        <w:ind w:firstLine="1134"/>
        <w:jc w:val="both"/>
        <w:rPr>
          <w:lang w:val="es-AR" w:eastAsia="es-AR" w:bidi="es-AR"/>
        </w:rPr>
      </w:pPr>
      <w:r>
        <w:rPr>
          <w:lang w:val="es-AR" w:eastAsia="es-AR" w:bidi="es-AR"/>
        </w:rPr>
        <w:t xml:space="preserve">No se establecen costas ni aranceles profesionales en ésta instancia por cuanto "El procedimiento de regulación de honorarios no constituye juicio contradictorio de índole tal que genere costas por lo que el recurso deducido en aquel y los respectivos trabajos de Alzada no devengan honorarios" (confr. esta Cámara causas C-6245 RSI 3 del 6-2-08; Nº 1291 RSI 10 del 7/2/14, Nº 2457 RSI 6/2016, entre otros).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señora Jueza </w:t>
      </w:r>
      <w:r>
        <w:rPr>
          <w:color w:val="000000"/>
          <w:lang w:val="es-AR" w:eastAsia="es-AR" w:bidi="es-AR"/>
        </w:rPr>
        <w:t xml:space="preserve">Graciela Scaraffia</w:t>
      </w:r>
      <w:r>
        <w:rPr>
          <w:lang w:val="es-AR" w:eastAsia="es-AR" w:bidi="es-AR"/>
        </w:rPr>
        <w:t xml:space="preserv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w:t>
      </w:r>
      <w:r>
        <w:rPr>
          <w:color w:val="000000"/>
          <w:lang w:val="es-AR" w:eastAsia="es-AR" w:bidi="es-AR"/>
        </w:rPr>
        <w:t xml:space="preserve">Roberto Manuel Degleue</w:t>
      </w:r>
      <w:r>
        <w:rPr>
          <w:lang w:val="es-AR" w:eastAsia="es-AR" w:bidi="es-AR"/>
        </w:rPr>
        <w:t xml:space="preserv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de apelación interpuesto por el demandado, y en su mérito dejar sin efecto los honorarios regulados a favor de la perito arquitecta xxxxxxxx,  debiendo el magistrado de primera instancia estarse a lo dispuesto por el art. 16 y ccs. del Decreto 6965/1695.</w:t>
      </w:r>
    </w:p>
    <w:p>
      <w:pPr>
        <w:pStyle w:val="[Normal]"/>
        <w:spacing w:line="360" w:lineRule="auto"/>
        <w:ind w:firstLine="1134"/>
        <w:jc w:val="both"/>
        <w:rPr>
          <w:lang w:val="es-AR" w:eastAsia="es-AR" w:bidi="es-AR"/>
        </w:rPr>
      </w:pPr>
      <w:r>
        <w:rPr>
          <w:lang w:val="es-AR" w:eastAsia="es-AR" w:bidi="es-AR"/>
        </w:rPr>
        <w:t xml:space="preserve">Sin costas atento la materia tratada (arts. 68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w:t>
      </w:r>
      <w:r>
        <w:rPr>
          <w:color w:val="000000"/>
          <w:lang w:val="es-AR" w:eastAsia="es-AR" w:bidi="es-AR"/>
        </w:rPr>
        <w:t xml:space="preserve">Graciela Scaraffia</w:t>
      </w:r>
      <w:r>
        <w:rPr>
          <w:lang w:val="es-AR" w:eastAsia="es-AR" w:bidi="es-AR"/>
        </w:rPr>
        <w:t xml:space="preserv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parcialmente al recurso de apelación interpuesto por el demandado, y en su mérito dejar sin efecto los honorarios regulados a favor de la perito arquitecta xxxxxxxxxxx,  debiendo el magistrado de primera instancia estarse a lo dispuesto por el art. 16 y ccs. del Decreto 6965/1695.</w:t>
      </w:r>
    </w:p>
    <w:p>
      <w:pPr>
        <w:pStyle w:val="[Normal]"/>
        <w:spacing w:line="360" w:lineRule="auto"/>
        <w:ind w:firstLine="1134"/>
        <w:jc w:val="both"/>
        <w:rPr>
          <w:lang w:val="es-AR" w:eastAsia="es-AR" w:bidi="es-AR"/>
        </w:rPr>
      </w:pPr>
      <w:r>
        <w:rPr>
          <w:lang w:val="es-AR" w:eastAsia="es-AR" w:bidi="es-AR"/>
        </w:rPr>
        <w:t xml:space="preserve">Sin costas atento la materia tratada (arts. 68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