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5733-25</w:t>
      </w:r>
      <w:r>
        <w:rPr>
          <w:lang w:val="es-AR" w:eastAsia="es-AR" w:bidi="es-AR"/>
        </w:rPr>
        <w:t xml:space="preserve"> caratulada </w:t>
      </w:r>
      <w:r>
        <w:rPr>
          <w:b/>
          <w:lang w:val="es-AR" w:eastAsia="es-AR" w:bidi="es-AR"/>
        </w:rPr>
        <w:t xml:space="preserve">"</w:t>
      </w:r>
      <w:r>
        <w:rPr>
          <w:b/>
          <w:color w:val="000000"/>
          <w:lang w:val="es-AR" w:eastAsia="es-AR" w:bidi="es-AR"/>
        </w:rPr>
        <w:t xml:space="preserve">LOPEZ MIGUEL ANGEL Y OTRO/A C/ GONZALEZ JUAN CARLOS Y OTRO/A S/ DAÑOS Y PERJ.AUTOM. C/LES. O MUERTE (EXC.ESTADO)</w:t>
      </w:r>
      <w:r>
        <w:rPr>
          <w:b/>
          <w:lang w:val="es-AR" w:eastAsia="es-AR" w:bidi="es-AR"/>
        </w:rPr>
        <w:t xml:space="preserve">"</w:t>
      </w:r>
      <w:r>
        <w:rPr>
          <w:lang w:val="es-AR" w:eastAsia="es-AR" w:bidi="es-AR"/>
        </w:rPr>
        <w:t xml:space="preserve">, Expte. N° 86255 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Deglegue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a la excepción de falta de legitimación pasiva opuesta por la citada en garantía Seguros Bernardino Rivadavia Cooperativa Limitada; con costas a su cargo. Difirió la regulación de honorarios de los letrados intervinientes, Declaró la inconstitucionalidad sobrevenida de los arts. 7 y 10 de la ley 23.928, según ley 25.561, del mismo modo que su inaplicabilidad al caso, a fin de disponer una equitativa actualización del crédito adeudado. Hizo lugar a la demanda incoada y condenó al demandado y la citada en garantía, Sr. Juan Carlos González y a Seguros Bernardino Rivadavia Cooperativa Limitada, a abonar  la parte actora dentro de los diez (10) días de notificada la presente, la suma de DIECISEIS MILLONES QUINIENTOS OCHENTA Y SEIS MIL CIENTO SETENTA Y OCHO Pesos ($16.586.178) -correspondiendo la suma de $6.512.923 al Sr. Miguel Angel López y la suma de $10.073.255 a la Sra. Ana Cruz Salcedo-. Aplicó las costas a la parte demandada y a la citada en garantía vencidas.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resuelto apeló el apoderado de la citada en garantía el 23-5.2025, recurso concedido libremente el 26-5-2025, ingresados los autos a este Organismo el 24-6-2025 es devuelto al juzgado de origen a fin de notificar la sentencia al demandado, reingresando el 11-7-2025, ordenándose el 15-7-2025 expresar agravios la recurrente, efectuándolo el 11-8-2025, conferido el traslado pertinente es contestado el 22-8-2025, dictándose el  llamamiento  de  autos para sentencia el 2-9-2025,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citada en garantía Seguros Bernardino Rivadavia expresó que la sentencia de primera instancia rechazó indebidamente la defensa de “no seguro por falta de pago”, desconociendo el resultado categórico de la pericia contable que acreditó la suspensión de la póliza al momento del siniestro. </w:t>
      </w:r>
    </w:p>
    <w:p>
      <w:pPr>
        <w:pStyle w:val="[Normal]"/>
        <w:spacing w:line="360" w:lineRule="auto"/>
        <w:ind w:firstLine="1134"/>
        <w:jc w:val="both"/>
        <w:rPr>
          <w:lang w:val="es-AR" w:eastAsia="es-AR" w:bidi="es-AR"/>
        </w:rPr>
      </w:pPr>
      <w:r>
        <w:rPr>
          <w:lang w:val="es-AR" w:eastAsia="es-AR" w:bidi="es-AR"/>
        </w:rPr>
        <w:t xml:space="preserve">Sostuvo además, que el fallo incurrió en un error de hecho al afirmar que la carta documento fue desconocida por la actora, cuando consta su presentación y validez, y que exigió sin fundamento la producción de prueba informativa a la empresa Andreani, pese a que la prueba ya obraba en autos. </w:t>
      </w:r>
    </w:p>
    <w:p>
      <w:pPr>
        <w:pStyle w:val="[Normal]"/>
        <w:spacing w:line="360" w:lineRule="auto"/>
        <w:ind w:firstLine="1134"/>
        <w:jc w:val="both"/>
        <w:rPr>
          <w:lang w:val="es-AR" w:eastAsia="es-AR" w:bidi="es-AR"/>
        </w:rPr>
      </w:pPr>
      <w:r>
        <w:rPr>
          <w:lang w:val="es-AR" w:eastAsia="es-AR" w:bidi="es-AR"/>
        </w:rPr>
        <w:t xml:space="preserve">En consecuencia, solicita la revocación de la sentencia y la admisión de la defensa de no cobertura por falta de pago, o subsidiariamente, la apertura a prueba en segunda instancia para producir el informe de la empresa Andreani.</w:t>
      </w:r>
    </w:p>
    <w:p>
      <w:pPr>
        <w:pStyle w:val="[Normal]"/>
        <w:spacing w:line="360" w:lineRule="auto"/>
        <w:ind w:firstLine="1134"/>
        <w:jc w:val="both"/>
        <w:rPr>
          <w:lang w:val="es-AR" w:eastAsia="es-AR" w:bidi="es-AR"/>
        </w:rPr>
      </w:pPr>
      <w:r>
        <w:rPr>
          <w:lang w:val="es-AR" w:eastAsia="es-AR" w:bidi="es-AR"/>
        </w:rPr>
        <w:t xml:space="preserve">A su turno, y en oportunidad de contestar el traslado de los agravios respectivos, la parte actora sostuvo la validez y corrección de la sentencia apelada, defendiendo el rechazo de la defensa de no seguro articulada por la aseguradora. Afirmó que la aseguradora no acreditó haber cumplido con el deber legal de notificar en forma fehaciente al asegurado el rechazo de la cobertura en el plazo previsto por el artículo 56 de la Ley 17.418. Señaló asimismo que la pericia contable y las constancias del expediente demuestran que la carta documento nunca fue recibida, que la aseguradora continuó percibiendo pagos con posterioridad al siniestro sin formular reserva y que tales omisiones importan aceptación tácita de la cobertura. Solicita la confirmación íntegra de la sentencia, el rechazo del recurso con costas, el desglose de documentación extemporánea y la aplicación de sanciones disciplinarias y astreintes a la apelante.</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se centra fundamentalmente en determinar si la cobertura declinada por la citada en garantía estaba suspendida o vigente al tiempo del siniestro y, en su caso, si dicha suspensión resulta oponible al asegurado y reflejamente al tercero damnificado en las circunstancias del caso.</w:t>
      </w:r>
    </w:p>
    <w:p>
      <w:pPr>
        <w:pStyle w:val="[Normal]"/>
        <w:spacing w:line="360" w:lineRule="auto"/>
        <w:ind w:firstLine="1134"/>
        <w:jc w:val="both"/>
        <w:rPr>
          <w:lang w:val="es-AR" w:eastAsia="es-AR" w:bidi="es-AR"/>
        </w:rPr>
      </w:pPr>
      <w:r>
        <w:rPr>
          <w:lang w:val="es-AR" w:eastAsia="es-AR" w:bidi="es-AR"/>
        </w:rPr>
        <w:t xml:space="preserve">Lo expuesto me reconduce a analizar dos aspectos elementales. El primero es si la cobertura se encontraba abonada al momento de la ocurrencia del siniestro. El segundo -ligado a la suerte del primero- radica en determinar si el asegurado había sido oportunamente informado de dicha suspensión.</w:t>
      </w:r>
    </w:p>
    <w:p>
      <w:pPr>
        <w:pStyle w:val="[Normal]"/>
        <w:spacing w:line="360" w:lineRule="auto"/>
        <w:ind w:firstLine="1134"/>
        <w:jc w:val="both"/>
        <w:rPr>
          <w:lang w:val="es-AR" w:eastAsia="es-AR" w:bidi="es-AR"/>
        </w:rPr>
      </w:pPr>
      <w:r>
        <w:rPr>
          <w:lang w:val="es-AR" w:eastAsia="es-AR" w:bidi="es-AR"/>
        </w:rPr>
        <w:t xml:space="preserve">I.- En este camino lógico me abocaré al tratamiento del primer aspecto. 	</w:t>
        <w:br w:type="textWrapping"/>
      </w:r>
      <w:r>
        <w:rPr>
          <w:lang w:val="es-AR" w:eastAsia="es-AR" w:bidi="es-AR"/>
        </w:rPr>
        <w:t xml:space="preserve"> 	Ello así por cuanto advierto que la citada en garantía sustentó su recurso en que a la fecha del siniestro (02/08/2019), la póliza se hallaba suspendida por falta de pago de la prima, por lo que no habría nacido obligación indemnizatoria a su cargo. 	</w:t>
        <w:br w:type="textWrapping"/>
      </w:r>
      <w:r>
        <w:rPr>
          <w:lang w:val="es-AR" w:eastAsia="es-AR" w:bidi="es-AR"/>
        </w:rPr>
        <w:t xml:space="preserve"> 	Este planteo requiere, en primer lugar, verificar el marco normativo y contractual aplicable a la suspensión de cobertura y, luego, constatar si el incumplimiento del pago se acredita en autos con la suficiencia técnica exigible.</w:t>
      </w:r>
    </w:p>
    <w:p>
      <w:pPr>
        <w:pStyle w:val="[Normal]"/>
        <w:spacing w:line="360" w:lineRule="auto"/>
        <w:ind w:firstLine="1134"/>
        <w:jc w:val="both"/>
        <w:rPr>
          <w:lang w:val="es-AR" w:eastAsia="es-AR" w:bidi="es-AR"/>
        </w:rPr>
      </w:pPr>
      <w:r>
        <w:rPr>
          <w:lang w:val="es-AR" w:eastAsia="es-AR" w:bidi="es-AR"/>
        </w:rPr>
        <w:t xml:space="preserve">De conformidad con la Ley 17.418, el pago del seguro es obligación esencial del asegurado y condiciona la eficacia de la garantía. En particular: los arts. 30 y 31 prevén que la mora en el pago de la prima produce la suspensión de los efectos del contrato respecto del asegurador, quien no responde por el siniestro ocurrido durante el período de suspensión, sin perjuicio de la rehabilitación que corresponda si se regulariza el pago en los términos pactados.</w:t>
      </w:r>
    </w:p>
    <w:p>
      <w:pPr>
        <w:pStyle w:val="[Normal]"/>
        <w:spacing w:line="360" w:lineRule="auto"/>
        <w:ind w:firstLine="1134"/>
        <w:jc w:val="both"/>
        <w:rPr>
          <w:lang w:val="es-AR" w:eastAsia="es-AR" w:bidi="es-AR"/>
        </w:rPr>
      </w:pPr>
      <w:r>
        <w:rPr>
          <w:lang w:val="es-AR" w:eastAsia="es-AR" w:bidi="es-AR"/>
        </w:rPr>
        <w:t xml:space="preserve">La regla legal se complementa con las cláusulas de cobranza del premio incorporadas al contrato particular que fuera acompañada en el escrito electrónico de fecha 24/8/2021. En el caso, la aseguradora invoca la Cláusula CA-CO 6.1 (Cobranzas del Premio), que reproduce el régimen legal: vencida la cuota y no verificado el pago, la cobertura queda suspendida hasta su cancelación en la forma y plazos previstos, con los efectos que el propio contrato detalla.</w:t>
      </w:r>
    </w:p>
    <w:p>
      <w:pPr>
        <w:pStyle w:val="[Normal]"/>
        <w:spacing w:line="360" w:lineRule="auto"/>
        <w:ind w:firstLine="1134"/>
        <w:jc w:val="both"/>
        <w:rPr>
          <w:lang w:val="es-AR" w:eastAsia="es-AR" w:bidi="es-AR"/>
        </w:rPr>
      </w:pPr>
      <w:r>
        <w:rPr>
          <w:lang w:val="es-AR" w:eastAsia="es-AR" w:bidi="es-AR"/>
        </w:rPr>
        <w:t xml:space="preserve">De este modo, el sistema jurídico argentino articula una sanción de inejecución: mientras persista la mora, el riesgo permanece sin garantía operativa. No se trata de una resolución automática del vínculo, sino de una ineficacia temporal de la obligación de mantener la cobertura, reanudable con el eventual pago regularizador.</w:t>
      </w:r>
    </w:p>
    <w:p>
      <w:pPr>
        <w:pStyle w:val="[Normal]"/>
        <w:spacing w:line="360" w:lineRule="auto"/>
        <w:ind w:firstLine="1134"/>
        <w:jc w:val="both"/>
        <w:rPr>
          <w:lang w:val="es-AR" w:eastAsia="es-AR" w:bidi="es-AR"/>
        </w:rPr>
      </w:pPr>
      <w:r>
        <w:rPr>
          <w:lang w:val="es-AR" w:eastAsia="es-AR" w:bidi="es-AR"/>
        </w:rPr>
        <w:t xml:space="preserve">Bajo ese parámetro, la cuestión fáctica decisiva es si al momento del hecho el asegurado había satisfecho o no la prima exigible. </w:t>
      </w:r>
    </w:p>
    <w:p>
      <w:pPr>
        <w:pStyle w:val="[Normal]"/>
        <w:spacing w:line="360" w:lineRule="auto"/>
        <w:ind w:firstLine="1134"/>
        <w:jc w:val="both"/>
        <w:rPr>
          <w:lang w:val="es-AR" w:eastAsia="es-AR" w:bidi="es-AR"/>
        </w:rPr>
      </w:pPr>
      <w:r>
        <w:rPr>
          <w:lang w:val="es-AR" w:eastAsia="es-AR" w:bidi="es-AR"/>
        </w:rPr>
        <w:t xml:space="preserve">Sobre este extremo, el dictamen pericial contable producido en autos -y que obra en presentación electrónica de fecha 9/4/2025-, en tanto medio probatorio idóneo para reconstruir la historia de pagos, fechas de vencimiento, acreditaciones y estado de cuenta de la póliza, concluyó que existía falta de pago de la cuota correspondiente con anterioridad al 02/08/2019 y que, por aplicación de la cláusula de cobranza y del régimen legal citado, la cobertura se hallaba suspendida durante ese lapso.</w:t>
      </w:r>
    </w:p>
    <w:p>
      <w:pPr>
        <w:pStyle w:val="[Normal]"/>
        <w:spacing w:line="360" w:lineRule="auto"/>
        <w:ind w:firstLine="1134"/>
        <w:jc w:val="both"/>
        <w:rPr>
          <w:lang w:val="es-AR" w:eastAsia="es-AR" w:bidi="es-AR"/>
        </w:rPr>
      </w:pPr>
      <w:r>
        <w:rPr>
          <w:lang w:val="es-AR" w:eastAsia="es-AR" w:bidi="es-AR"/>
        </w:rPr>
        <w:t xml:space="preserve">El experto trabajó sobre el legajo de póliza, el cronograma de vencimientos y los registros contables internos (estado de cuenta, mayor/submayor de primas), y contrastó tales asientos con la documentación de cobranzas y, cuando correspondía, con las acreditaciones bancarias o de medios de pago. Ese circuito -legajo, contabilidad y medios de cobro- permite comprobar si la cancelación de la cuota dejó la huella documental que inevitablemente genera un pago regular: recibo oficial emitido y contabilizado, asiento de percepción, acreditación en cuenta y eventual constancia de rehabilitación, si el sistema lo requiere.</w:t>
      </w:r>
    </w:p>
    <w:p>
      <w:pPr>
        <w:pStyle w:val="[Normal]"/>
        <w:spacing w:line="360" w:lineRule="auto"/>
        <w:ind w:firstLine="1134"/>
        <w:jc w:val="both"/>
        <w:rPr>
          <w:lang w:val="es-AR" w:eastAsia="es-AR" w:bidi="es-AR"/>
        </w:rPr>
      </w:pPr>
      <w:r>
        <w:rPr>
          <w:lang w:val="es-AR" w:eastAsia="es-AR" w:bidi="es-AR"/>
        </w:rPr>
        <w:t xml:space="preserve">A partir de tales verificaciones el perito interviniente concluyó que la cuota cuyo vencimiento operó con anterioridad al 02/08/2019 no registraba cancelación hasta esa fecha, por cuanto no había recibo oficial abonado ni asiento de percepción imputado a la póliza, tampoco acreditación bancaria o constancia de débito exitoso, ni acto de rehabilitación emitido con anterioridad al hecho. </w:t>
      </w:r>
    </w:p>
    <w:p>
      <w:pPr>
        <w:pStyle w:val="[Normal]"/>
        <w:spacing w:line="360" w:lineRule="auto"/>
        <w:ind w:firstLine="1134"/>
        <w:jc w:val="both"/>
        <w:rPr>
          <w:lang w:val="es-AR" w:eastAsia="es-AR" w:bidi="es-AR"/>
        </w:rPr>
      </w:pPr>
      <w:r>
        <w:rPr>
          <w:lang w:val="es-AR" w:eastAsia="es-AR" w:bidi="es-AR"/>
        </w:rPr>
        <w:t xml:space="preserve">La </w:t>
      </w:r>
      <w:r>
        <w:rPr>
          <w:i/>
          <w:lang w:val="es-AR" w:eastAsia="es-AR" w:bidi="es-AR"/>
        </w:rPr>
        <w:t xml:space="preserve">“negatividad”</w:t>
      </w:r>
      <w:r>
        <w:rPr>
          <w:lang w:val="es-AR" w:eastAsia="es-AR" w:bidi="es-AR"/>
        </w:rPr>
        <w:t xml:space="preserve"> del hecho -no pago- queda, así, exteriorizada por datos positivos: ausencia concurrente y consistente de toda traza contable o bancaria de cancelación, en un sistema donde el pago deja, necesariamente, rastros documentales y contables. La emisión de la carta documento de rechazo o suspensión -remitida dentro del plazo legal- además justifica el estado contable de impago que describe el informe, sin que obre en contrario documentación fehaciente de la parte interesada (recibos, extractos, comprobantes de imputación) capaz de desvirtuarlo.</w:t>
      </w:r>
    </w:p>
    <w:p>
      <w:pPr>
        <w:pStyle w:val="[Normal]"/>
        <w:spacing w:line="360" w:lineRule="auto"/>
        <w:ind w:firstLine="1134"/>
        <w:jc w:val="both"/>
        <w:rPr>
          <w:lang w:val="es-AR" w:eastAsia="es-AR" w:bidi="es-AR"/>
        </w:rPr>
      </w:pPr>
      <w:r>
        <w:rPr>
          <w:lang w:val="es-AR" w:eastAsia="es-AR" w:bidi="es-AR"/>
        </w:rPr>
        <w:t xml:space="preserve">De este modo, la pericia brinda soporte técnico probatorio objetivo al hecho del no pago: releva los comprobantes, asienta la inexistencia de registración de cancelación en el período relevante y explica el encadenamiento vencimiento-mora-suspensión que deriva de las condiciones contractuales. En la medida en que tales conclusiones no aparecen desvirtuadas por documentación fehaciente de signo contrario -v.g., recibos o constancias bancarias que acrediten pago oportuno o regularización previa al siniestro-, cabe tener por acreditado el presupuesto fáctico de la defensa: la mora del asegurado a la fecha del evento.</w:t>
      </w:r>
    </w:p>
    <w:p>
      <w:pPr>
        <w:pStyle w:val="[Normal]"/>
        <w:spacing w:line="360" w:lineRule="auto"/>
        <w:ind w:firstLine="1134"/>
        <w:jc w:val="both"/>
        <w:rPr>
          <w:lang w:val="es-AR" w:eastAsia="es-AR" w:bidi="es-AR"/>
        </w:rPr>
      </w:pPr>
      <w:r>
        <w:rPr>
          <w:lang w:val="es-AR" w:eastAsia="es-AR" w:bidi="es-AR"/>
        </w:rPr>
        <w:t xml:space="preserve">Verificada entonces la previsión legal-contractual que subordina la eficacia de la cobertura al pago en término y la falta objetiva de pago acreditada pericialmente al tiempo del siniestro, la conclusión provisoria es que, en principio, operó la suspensión de la cobertura y, con ello, la no obligación del asegurador de mantener el riesgo en ese período.</w:t>
      </w:r>
    </w:p>
    <w:p>
      <w:pPr>
        <w:pStyle w:val="[Normal]"/>
        <w:spacing w:line="360" w:lineRule="auto"/>
        <w:ind w:firstLine="1134"/>
        <w:jc w:val="both"/>
        <w:rPr>
          <w:lang w:val="es-AR" w:eastAsia="es-AR" w:bidi="es-AR"/>
        </w:rPr>
      </w:pPr>
      <w:r>
        <w:rPr>
          <w:lang w:val="es-AR" w:eastAsia="es-AR" w:bidi="es-AR"/>
        </w:rPr>
        <w:t xml:space="preserve">II.- Ahora bien, este encuadre no agota el análisis. La oponibilidad eficaz de la suspensión frente al asegurado y -en la medida legal- frente a los terceros damnificados, requiere ponderar otros dos planos: 1) el cumplimiento por la aseguradora de los deberes de información y comunicación (incluido el régimen del art. 56 de la Ley 17.418, cuando resulte pertinente a la hipótesis de rechazo de cobertura) y 2) la conducta posterior de la entidad (v.gr., percepción de primas o actos de gestión del siniestro sin reserva), a efectos de descartar tolerancias, renuncias o aceptaciones tácitas incompatibles con la suspensión invocada. </w:t>
      </w:r>
    </w:p>
    <w:p>
      <w:pPr>
        <w:pStyle w:val="[Normal]"/>
        <w:spacing w:line="360" w:lineRule="auto"/>
        <w:ind w:firstLine="1134"/>
        <w:jc w:val="both"/>
        <w:rPr>
          <w:lang w:val="es-AR" w:eastAsia="es-AR" w:bidi="es-AR"/>
        </w:rPr>
      </w:pPr>
      <w:r>
        <w:rPr>
          <w:lang w:val="es-AR" w:eastAsia="es-AR" w:bidi="es-AR"/>
        </w:rPr>
        <w:t xml:space="preserve">Tales cuestiones por su distinto objeto, serán tratadas separadamente.</w:t>
      </w:r>
    </w:p>
    <w:p>
      <w:pPr>
        <w:pStyle w:val="[Normal]"/>
        <w:spacing w:line="360" w:lineRule="auto"/>
        <w:ind w:firstLine="1134"/>
        <w:jc w:val="both"/>
        <w:rPr>
          <w:lang w:val="es-AR" w:eastAsia="es-AR" w:bidi="es-AR"/>
        </w:rPr>
      </w:pPr>
      <w:r>
        <w:rPr>
          <w:lang w:val="es-AR" w:eastAsia="es-AR" w:bidi="es-AR"/>
        </w:rPr>
        <w:t xml:space="preserve">En este estadio del razonamiento resulta entonces imprescindible examinar, en primer término, la regularidad y eficacia de la comunicación del rechazo/suspensión de cobertura efectuada por la aseguradora, pues el régimen del artículo 56 de la Ley 17.418 anuda consecuencias estrictas a la conducta informativa de la entidad. </w:t>
      </w:r>
    </w:p>
    <w:p>
      <w:pPr>
        <w:pStyle w:val="[Normal]"/>
        <w:spacing w:line="360" w:lineRule="auto"/>
        <w:ind w:firstLine="1134"/>
        <w:jc w:val="both"/>
        <w:rPr>
          <w:lang w:val="es-AR" w:eastAsia="es-AR" w:bidi="es-AR"/>
        </w:rPr>
      </w:pPr>
      <w:r>
        <w:rPr>
          <w:lang w:val="es-AR" w:eastAsia="es-AR" w:bidi="es-AR"/>
        </w:rPr>
        <w:t xml:space="preserve">Dicha norma impone al asegurador el deber de pronunciarse dentro de los treinta días de recibido el informe del siniestro y demás comprobaciones que le permitan conocer su procedencia, so pena de que su silencio o inacción se interpreten en sentido favorable al asegurado. La exigencia es doble: temporalidad (pronunciamiento oportuno) y exteriorización fehaciente del contenido (aceptación o rechazo, total o parcial). </w:t>
      </w:r>
    </w:p>
    <w:p>
      <w:pPr>
        <w:pStyle w:val="[Normal]"/>
        <w:spacing w:line="360" w:lineRule="auto"/>
        <w:ind w:firstLine="1134"/>
        <w:jc w:val="both"/>
        <w:rPr>
          <w:lang w:val="es-AR" w:eastAsia="es-AR" w:bidi="es-AR"/>
        </w:rPr>
      </w:pPr>
      <w:r>
        <w:rPr>
          <w:lang w:val="es-AR" w:eastAsia="es-AR" w:bidi="es-AR"/>
        </w:rPr>
        <w:t xml:space="preserve">En la pieza de responde de la citada en garantía del 24/8/2021 se invoca y anexa una carta documento instrumentada a través de Andreani, fechada el 21/08/2019, en la que se consigna la declinación de cobertura con fundamento en </w:t>
      </w:r>
      <w:r>
        <w:rPr>
          <w:i/>
          <w:lang w:val="es-AR" w:eastAsia="es-AR" w:bidi="es-AR"/>
        </w:rPr>
        <w:t xml:space="preserve">“suspensión por falta de pago”</w:t>
      </w:r>
      <w:r>
        <w:rPr>
          <w:lang w:val="es-AR" w:eastAsia="es-AR" w:bidi="es-AR"/>
        </w:rPr>
        <w:t xml:space="preserve"> bajo la póliza N° 09/02/528997 y se hace referencia a que la denuncia del siniestro habría sido formulada el 05/08/2019; se acompaña, además, </w:t>
      </w:r>
      <w:r>
        <w:rPr>
          <w:i/>
          <w:lang w:val="es-AR" w:eastAsia="es-AR" w:bidi="es-AR"/>
        </w:rPr>
        <w:t xml:space="preserve">“aviso de recepción”</w:t>
      </w:r>
      <w:r>
        <w:rPr>
          <w:lang w:val="es-AR" w:eastAsia="es-AR" w:bidi="es-AR"/>
        </w:rPr>
        <w:t xml:space="preserve"> (identificado por la propia aseguradora como CD N° 000000026842270), y se destaca que la comunicación fue remitida </w:t>
      </w:r>
      <w:r>
        <w:rPr>
          <w:i/>
          <w:lang w:val="es-AR" w:eastAsia="es-AR" w:bidi="es-AR"/>
        </w:rPr>
        <w:t xml:space="preserve">“dentro de los treinta días”</w:t>
      </w:r>
      <w:r>
        <w:rPr>
          <w:lang w:val="es-AR" w:eastAsia="es-AR" w:bidi="es-AR"/>
        </w:rPr>
        <w:t xml:space="preserve"> de la denuncia. </w:t>
      </w:r>
    </w:p>
    <w:p>
      <w:pPr>
        <w:pStyle w:val="[Normal]"/>
        <w:spacing w:line="360" w:lineRule="auto"/>
        <w:ind w:firstLine="1134"/>
        <w:jc w:val="both"/>
        <w:rPr>
          <w:lang w:val="es-AR" w:eastAsia="es-AR" w:bidi="es-AR"/>
        </w:rPr>
      </w:pPr>
      <w:r>
        <w:rPr>
          <w:lang w:val="es-AR" w:eastAsia="es-AR" w:bidi="es-AR"/>
        </w:rPr>
        <w:t xml:space="preserve">La temporaneidad aparente -medida desde el 5/8/2019 hasta el 21/8/2019- luce, prima facie, compatible con el plazo legal. Sin embargo, el estándar que impone el artículo 56 no se satisface sólo con la emisión o el despacho del rechazo: recae también sobre el asegurador la carga de acreditar la efectiva recepción por el asegurado en su domicilio contractual o legalmente pertinente, de manera tal que el pronunciamiento sea real y cognoscible para su destinatario. </w:t>
      </w:r>
    </w:p>
    <w:p>
      <w:pPr>
        <w:pStyle w:val="[Normal]"/>
        <w:spacing w:line="360" w:lineRule="auto"/>
        <w:ind w:firstLine="1134"/>
        <w:jc w:val="both"/>
        <w:rPr>
          <w:lang w:val="es-AR" w:eastAsia="es-AR" w:bidi="es-AR"/>
        </w:rPr>
      </w:pPr>
      <w:r>
        <w:rPr>
          <w:lang w:val="es-AR" w:eastAsia="es-AR" w:bidi="es-AR"/>
        </w:rPr>
        <w:t xml:space="preserve">Ciertamente la mora en el pago quedó constatada por la pericia contable y permite, en abstracto, la suspensión de la cobertura conforme arts. 30 y 31 de la Ley 17.418 y la cláusula de cobranza del premio prevista en la póliza. Sin embargo, la falta de pago no torna automáticamente oponible la suspensión. La Ley de Seguros exige que el asegurador cumpla, con rigor, sus deberes de información y comunicación: el art. 56 impone pronunciarse en plazo y hacerlo de modo fehaciente y fundado, con efectivo conocimiento por parte del asegurado. Esa carga es constitutiva de la eficacia de la declinación frente al asegurado y, reflejamente, condiciona su proyección frente a los terceros citados en garantía.</w:t>
      </w:r>
    </w:p>
    <w:p>
      <w:pPr>
        <w:pStyle w:val="[Normal]"/>
        <w:spacing w:line="360" w:lineRule="auto"/>
        <w:ind w:firstLine="1134"/>
        <w:jc w:val="both"/>
        <w:rPr>
          <w:lang w:val="es-AR" w:eastAsia="es-AR" w:bidi="es-AR"/>
        </w:rPr>
      </w:pPr>
      <w:r>
        <w:rPr>
          <w:lang w:val="es-AR" w:eastAsia="es-AR" w:bidi="es-AR"/>
        </w:rPr>
        <w:t xml:space="preserve">Bajo este punto de vista, lo determinante en autos no es tanto la emisión de un rechazo sino la prueba de su recepción válida y oportuna. La citada en garantía invocó una carta documento instrumentada por Andreani, fechada el 21/08/2019, y aportó una “constancia/aviso de recepción”. Con todo, del propio escrito de presentación de la aseguradora y de los adjuntos que individualiza no surge, con la nitidez que el art. 56 exige, la efectiva entrega en el domicilio pertinente ni la identidad del receptor.	 </w:t>
        <w:br w:type="textWrapping"/>
      </w:r>
      <w:r>
        <w:rPr>
          <w:lang w:val="es-AR" w:eastAsia="es-AR" w:bidi="es-AR"/>
        </w:rPr>
        <w:t xml:space="preserve"> 	En otros términos, no se alcanza el estándar de </w:t>
      </w:r>
      <w:r>
        <w:rPr>
          <w:i/>
          <w:lang w:val="es-AR" w:eastAsia="es-AR" w:bidi="es-AR"/>
        </w:rPr>
        <w:t xml:space="preserve">“fehaciencia”</w:t>
      </w:r>
      <w:r>
        <w:rPr>
          <w:lang w:val="es-AR" w:eastAsia="es-AR" w:bidi="es-AR"/>
        </w:rPr>
        <w:t xml:space="preserve"> que transforma el pronunciamiento en una comunicación jurídicamente eficaz. La sola mención de una carta y el acompañamiento genérico de un </w:t>
      </w:r>
      <w:r>
        <w:rPr>
          <w:i/>
          <w:lang w:val="es-AR" w:eastAsia="es-AR" w:bidi="es-AR"/>
        </w:rPr>
        <w:t xml:space="preserve">“aviso”</w:t>
      </w:r>
      <w:r>
        <w:rPr>
          <w:lang w:val="es-AR" w:eastAsia="es-AR" w:bidi="es-AR"/>
        </w:rPr>
        <w:t xml:space="preserve"> no suplen la carga de demostrar, con trazabilidad suficiente, que el asegurado tomó conocimiento en plazo de la suspensión invocada y de sus fundamentos. En ausencia de esa acreditación -y frente a la controversia expresa de la parte actora sobre la falta de recepción- el recaudo legal debe tenerse por incumplido.</w:t>
      </w:r>
    </w:p>
    <w:p>
      <w:pPr>
        <w:pStyle w:val="[Normal]"/>
        <w:spacing w:line="360" w:lineRule="auto"/>
        <w:ind w:firstLine="1134"/>
        <w:jc w:val="both"/>
        <w:rPr>
          <w:lang w:val="es-AR" w:eastAsia="es-AR" w:bidi="es-AR"/>
        </w:rPr>
      </w:pPr>
      <w:r>
        <w:rPr>
          <w:lang w:val="es-AR" w:eastAsia="es-AR" w:bidi="es-AR"/>
        </w:rPr>
        <w:t xml:space="preserve">No obsta a esta conclusión la circunstancia de que la carta documento haya sido despachada dentro de los treinta días desde la denuncia del siniestro. El art. 56 no se satisface con el despacho: exige pronunciamiento </w:t>
      </w:r>
      <w:r>
        <w:rPr>
          <w:i/>
          <w:lang w:val="es-AR" w:eastAsia="es-AR" w:bidi="es-AR"/>
        </w:rPr>
        <w:t xml:space="preserve">“dentro del plazo”</w:t>
      </w:r>
      <w:r>
        <w:rPr>
          <w:lang w:val="es-AR" w:eastAsia="es-AR" w:bidi="es-AR"/>
        </w:rPr>
        <w:t xml:space="preserve"> pero, además, que ese pronunciamiento sea </w:t>
      </w:r>
      <w:r>
        <w:rPr>
          <w:i/>
          <w:lang w:val="es-AR" w:eastAsia="es-AR" w:bidi="es-AR"/>
        </w:rPr>
        <w:t xml:space="preserve">“conocido o cognoscible”</w:t>
      </w:r>
      <w:r>
        <w:rPr>
          <w:lang w:val="es-AR" w:eastAsia="es-AR" w:bidi="es-AR"/>
        </w:rPr>
        <w:t xml:space="preserve"> por su destinatario a través de un medio idóneo. La pauta no es formalista, sino sustantiva. 	</w:t>
      </w:r>
    </w:p>
    <w:p>
      <w:pPr>
        <w:pStyle w:val="[Normal]"/>
        <w:spacing w:line="360" w:lineRule="auto"/>
        <w:ind w:firstLine="1134"/>
        <w:jc w:val="both"/>
        <w:rPr>
          <w:lang w:val="es-AR" w:eastAsia="es-AR" w:bidi="es-AR"/>
        </w:rPr>
      </w:pPr>
      <w:r>
        <w:rPr>
          <w:lang w:val="es-AR" w:eastAsia="es-AR" w:bidi="es-AR"/>
        </w:rPr>
        <w:t xml:space="preserve">En este sentido ha resuelto nuestro Máximo Tribunal de Provincia que: “</w:t>
      </w:r>
      <w:r>
        <w:rPr>
          <w:i/>
          <w:lang w:val="es-AR" w:eastAsia="es-AR" w:bidi="es-AR"/>
        </w:rPr>
        <w:t xml:space="preserve">Una vez denunciado el siniestro, la aseguradora debe pronunciarse acerca del derecho que le asiste al asegurado (arts. 46 y 56, ley 17.418) dentro del plazo de treinta días de recibida la denuncia o la información complementaria. La omisión de tal comunicación importa la aceptación del siniestro e impide luego invocar en juicio circunstancias que obstaculicen el derecho del asegurado. Aquel debe notificarse en el domicilio declarado en el contrato de seguro (art. 16, ley 17.418), a través del envío de una carta documento o bien un acta notarial (por ejemplo), que den constancia de la "recepción" por el asegurado.</w:t>
      </w:r>
      <w:r>
        <w:rPr>
          <w:lang w:val="es-AR" w:eastAsia="es-AR" w:bidi="es-AR"/>
        </w:rPr>
        <w:t xml:space="preserve">” (SCBA, C 116847 S 04/03/2015; esta Sala III, </w:t>
      </w:r>
      <w:r>
        <w:rPr>
          <w:i/>
          <w:lang w:val="es-AR" w:eastAsia="es-AR" w:bidi="es-AR"/>
        </w:rPr>
        <w:t xml:space="preserve">“Locaso, Carla c/ Menéndez, Julio Alberto y otro s/ Daños y Perjuicios” – Expte.N°148.792, sent. del 29/02/2012</w:t>
      </w:r>
      <w:r>
        <w:rPr>
          <w:lang w:val="es-AR" w:eastAsia="es-AR" w:bidi="es-AR"/>
        </w:rPr>
        <w:t xml:space="preserve">). 	</w:t>
        <w:br w:type="textWrapping"/>
      </w:r>
      <w:r>
        <w:rPr>
          <w:lang w:val="es-AR" w:eastAsia="es-AR" w:bidi="es-AR"/>
        </w:rPr>
        <w:t xml:space="preserve"> 	La jurisprudencia provincial también tiene decidido que: “…</w:t>
      </w:r>
      <w:r>
        <w:rPr>
          <w:i/>
          <w:lang w:val="es-AR" w:eastAsia="es-AR" w:bidi="es-AR"/>
        </w:rPr>
        <w:t xml:space="preserve">vencido dicho plazo y no habiendo formulado el asegurador pronunciamiento alguno, su silencio importa aceptación conforme la última parte del art. 56 de la ley 17.418, tratándose de una carga del asegurador que debe ejercitarse en forma perentoria y cuya inobservancia importa un reconocimiento del aludido derecho y la imposibilidad de allí en más de invocar defensas. En otras palabras, vencido el plazo de treinta días sin que la aseguradora haya hecho saber el rechazo de su responsabilidad, incurre en mora conforme los arts. 56 y 15 de la LS, lo que implica la aceptación tácita de la garantía comprometida y la imposibilidad de alegar cualquier defensa, aunque la misma se encuentre justificada, que obste el cumplimiento de la obligación principal.</w:t>
      </w:r>
      <w:r>
        <w:rPr>
          <w:lang w:val="es-AR" w:eastAsia="es-AR" w:bidi="es-AR"/>
        </w:rPr>
        <w:t xml:space="preserve">” (CC0100 SN 11801 S 20/10/2015). </w:t>
      </w:r>
    </w:p>
    <w:p>
      <w:pPr>
        <w:pStyle w:val="[Normal]"/>
        <w:spacing w:line="360" w:lineRule="auto"/>
        <w:ind w:firstLine="1134"/>
        <w:jc w:val="both"/>
        <w:rPr>
          <w:lang w:val="es-AR" w:eastAsia="es-AR" w:bidi="es-AR"/>
        </w:rPr>
      </w:pPr>
      <w:r>
        <w:rPr>
          <w:lang w:val="es-AR" w:eastAsia="es-AR" w:bidi="es-AR"/>
        </w:rPr>
        <w:t xml:space="preserve">En seguros de automotores, donde la suspensión por mora opera como una inejecución temporal de la garantía, el control judicial de la oponibilidad no puede prescindir de la prueba de recepción efectiva, pues solo así el asegurado -y, por derivación, los terceros- pueden ajustar su conducta (pagar, rehabilitar, etc.). </w:t>
      </w:r>
    </w:p>
    <w:p>
      <w:pPr>
        <w:pStyle w:val="[Normal]"/>
        <w:spacing w:line="360" w:lineRule="auto"/>
        <w:ind w:firstLine="1134"/>
        <w:jc w:val="both"/>
        <w:rPr>
          <w:lang w:val="es-AR" w:eastAsia="es-AR" w:bidi="es-AR"/>
        </w:rPr>
      </w:pPr>
      <w:r>
        <w:rPr>
          <w:lang w:val="es-AR" w:eastAsia="es-AR" w:bidi="es-AR"/>
        </w:rPr>
        <w:t xml:space="preserve">Así pues, en la especie, la ausencia de acreditación fehaciente de recepción desactivó la eficacia externa del rechazo. La conclusión es evidente: la aseguradora no puede ampararse en una suspensión que, por su propia omisión informativa, no llegó a convertirse en una situación jurídicamente oponible.</w:t>
      </w:r>
    </w:p>
    <w:p>
      <w:pPr>
        <w:pStyle w:val="[Normal]"/>
        <w:spacing w:line="360" w:lineRule="auto"/>
        <w:ind w:firstLine="1134"/>
        <w:jc w:val="both"/>
        <w:rPr>
          <w:lang w:val="es-AR" w:eastAsia="es-AR" w:bidi="es-AR"/>
        </w:rPr>
      </w:pPr>
      <w:r>
        <w:rPr>
          <w:lang w:val="es-AR" w:eastAsia="es-AR" w:bidi="es-AR"/>
        </w:rPr>
        <w:t xml:space="preserve">A ello se suma un dato de contexto que refuerza la solución: la propia conducta posterior de la aseguradora aparece, cuando menos, equívoca a la luz de los señalamientos de la actora. La percepción de primas con posterioridad al evento, de existir, no retrotrae la cobertura sobre el siniestro pretérito; pero si tales percepciones ocurrieron sin reservas explícitas, o si se realizaron actos de tramitación del siniestro incompatibles con la declinación (v.gr., gestiones liquidatorias, requerimientos de presupuestos, instrucciones de reparación), el cuadro fáctico habilita a considerar que la aseguradora contribuyó a generar -o, al menos, no disipó- una apariencia de cobertura. En cualquier caso, ese comportamiento no sana la falencia medular: el déficit probatorio en torno a la notificación fehaciente en tiempo oportuno.</w:t>
      </w:r>
    </w:p>
    <w:p>
      <w:pPr>
        <w:pStyle w:val="[Normal]"/>
        <w:spacing w:line="360" w:lineRule="auto"/>
        <w:ind w:firstLine="1134"/>
        <w:jc w:val="both"/>
        <w:rPr>
          <w:lang w:val="es-AR" w:eastAsia="es-AR" w:bidi="es-AR"/>
        </w:rPr>
      </w:pPr>
      <w:r>
        <w:rPr>
          <w:lang w:val="es-AR" w:eastAsia="es-AR" w:bidi="es-AR"/>
        </w:rPr>
        <w:t xml:space="preserve">La consecuencia jurídica, entonces, no es desconocer la mora ni la regla legal de suspensión, sino afirmar que, en este caso, la aseguradora no cumplió la carga que le impone el art. 56 para hacerla valer frente al asegurado y, por extensión, para oponerla con eficacia frente a los terceros citados en garantía. </w:t>
      </w:r>
    </w:p>
    <w:p>
      <w:pPr>
        <w:pStyle w:val="[Normal]"/>
        <w:spacing w:line="360" w:lineRule="auto"/>
        <w:ind w:firstLine="1134"/>
        <w:jc w:val="both"/>
        <w:rPr>
          <w:lang w:val="es-AR" w:eastAsia="es-AR" w:bidi="es-AR"/>
        </w:rPr>
      </w:pPr>
      <w:r>
        <w:rPr>
          <w:lang w:val="es-AR" w:eastAsia="es-AR" w:bidi="es-AR"/>
        </w:rPr>
        <w:t xml:space="preserve">La doctrina del art. 56 funciona aquí como valladar de seguridad jurídica: ante la duda o la insuficiencia probatoria en la comunicación del rechazo, prevalece la interpretación favorable al asegurado/tercero, y la suspensión alegada deviene inoponible. </w:t>
      </w:r>
    </w:p>
    <w:p>
      <w:pPr>
        <w:pStyle w:val="[Normal]"/>
        <w:spacing w:line="360" w:lineRule="auto"/>
        <w:ind w:firstLine="1134"/>
        <w:jc w:val="both"/>
        <w:rPr>
          <w:lang w:val="es-AR" w:eastAsia="es-AR" w:bidi="es-AR"/>
        </w:rPr>
      </w:pPr>
      <w:r>
        <w:rPr>
          <w:lang w:val="es-AR" w:eastAsia="es-AR" w:bidi="es-AR"/>
        </w:rPr>
        <w:t xml:space="preserve">A mayor abundamiento, corresponde añadir que el punto de anclaje argumental no reposa únicamente en el art. 56 de la Ley 17.418 -que exige un pronunciamiento tempestivo, fundado y fehacientemente comunicado- sino también en el estatuto tuitivo propio de las relaciones de consumo (art. 42 CN; arts. 3 y 4, Ley 24.240; arts. 1092, 1093, 1094 y 1095 CCyC), plenamente aplicable al contrato de seguro celebrado por adhesión con un destinatario final. </w:t>
      </w:r>
    </w:p>
    <w:p>
      <w:pPr>
        <w:pStyle w:val="[Normal]"/>
        <w:spacing w:line="360" w:lineRule="auto"/>
        <w:ind w:firstLine="1134"/>
        <w:jc w:val="both"/>
        <w:rPr>
          <w:lang w:val="es-AR" w:eastAsia="es-AR" w:bidi="es-AR"/>
        </w:rPr>
      </w:pPr>
      <w:r>
        <w:rPr>
          <w:lang w:val="es-AR" w:eastAsia="es-AR" w:bidi="es-AR"/>
        </w:rPr>
        <w:t xml:space="preserve">Bajo ese haz normativo el asegurador, en cuanto proveedor profesional, soporta un deber calificado de información, que no se agota en </w:t>
      </w:r>
      <w:r>
        <w:rPr>
          <w:i/>
          <w:lang w:val="es-AR" w:eastAsia="es-AR" w:bidi="es-AR"/>
        </w:rPr>
        <w:t xml:space="preserve">“emitir”</w:t>
      </w:r>
      <w:r>
        <w:rPr>
          <w:lang w:val="es-AR" w:eastAsia="es-AR" w:bidi="es-AR"/>
        </w:rPr>
        <w:t xml:space="preserve"> una carta de rechazo: debe acreditar que su contenido fue efectivamente puesto en conocimiento del asegurado en tiempo oportuno, en forma clara, cierta y veraz, y en condiciones que le permitan adoptar decisiones (regularizar, rehabilitar, etc.). </w:t>
      </w:r>
    </w:p>
    <w:p>
      <w:pPr>
        <w:pStyle w:val="[Normal]"/>
        <w:spacing w:line="360" w:lineRule="auto"/>
        <w:ind w:firstLine="1134"/>
        <w:jc w:val="both"/>
        <w:rPr>
          <w:lang w:val="es-AR" w:eastAsia="es-AR" w:bidi="es-AR"/>
        </w:rPr>
      </w:pPr>
      <w:r>
        <w:rPr>
          <w:lang w:val="es-AR" w:eastAsia="es-AR" w:bidi="es-AR"/>
        </w:rPr>
        <w:t xml:space="preserve">Esa carga informativa, reforzada por el principio pro consumidor (art. 1094 CCyC) y la regla de interpretación contra proferentem de las cláusulas predispuestas (arts. 984 a 989 CCyC), se integra con la exigencia específica del art. 56 L.S.; si falla cualquiera de sus elementos —tempestividad, fundamentación o fehaciencia de la recepción—, la declinación no es oponible.</w:t>
      </w:r>
    </w:p>
    <w:p>
      <w:pPr>
        <w:pStyle w:val="[Normal]"/>
        <w:spacing w:line="360" w:lineRule="auto"/>
        <w:ind w:firstLine="1134"/>
        <w:jc w:val="both"/>
        <w:rPr>
          <w:lang w:val="es-AR" w:eastAsia="es-AR" w:bidi="es-AR"/>
        </w:rPr>
      </w:pPr>
      <w:r>
        <w:rPr>
          <w:lang w:val="es-AR" w:eastAsia="es-AR" w:bidi="es-AR"/>
        </w:rPr>
        <w:t xml:space="preserve">Aplicado al caso, la ajenidad de la víctima y la condición de adherente del asegurado extreman el estándar de diligencia exigible a la compañía. La sola invocación de una carta documento </w:t>
      </w:r>
      <w:r>
        <w:rPr>
          <w:i/>
          <w:lang w:val="es-AR" w:eastAsia="es-AR" w:bidi="es-AR"/>
        </w:rPr>
        <w:t xml:space="preserve">“despachada”</w:t>
      </w:r>
      <w:r>
        <w:rPr>
          <w:lang w:val="es-AR" w:eastAsia="es-AR" w:bidi="es-AR"/>
        </w:rPr>
        <w:t xml:space="preserve"> dentro de los treinta días no satisface el test de fehaciencia cuando no se acredita con precisión la recepción por el asegurado en el domicilio pertinente y la identidad del receptor, o cuando la constancia agregada resulta incompleta, equívoca o inidónea para reconstruir el efectivo conocimiento del pronunciamiento. </w:t>
      </w:r>
    </w:p>
    <w:p>
      <w:pPr>
        <w:pStyle w:val="[Normal]"/>
        <w:spacing w:line="360" w:lineRule="auto"/>
        <w:ind w:firstLine="1134"/>
        <w:jc w:val="both"/>
        <w:rPr>
          <w:lang w:val="es-AR" w:eastAsia="es-AR" w:bidi="es-AR"/>
        </w:rPr>
      </w:pPr>
      <w:r>
        <w:rPr>
          <w:lang w:val="es-AR" w:eastAsia="es-AR" w:bidi="es-AR"/>
        </w:rPr>
        <w:t xml:space="preserve">En ese escenario probatorio -en el que, además, la parte actora controvirtió la recepción-, el principio de cargas dinámicas opera en perjuicio del proveedor que se halla en mejores condiciones de probar (libro de correspondencia, trazabilidad postal, constancias de entrega, registro interno del siniestro), y la falta de acreditación se valora contra quien debía informar. No es formalismo: en materia de seguros la suspensión por mora priva al asegurado de una expectativa legítima de cobertura; de ahí que el ordenamiento exige que la compañía demuestre que hubo conocimiento en tiempo de esa decisión para que el adherente pueda reaccionar. Si el proveedor no logra esa demostración, su silencio o ineficacia comunicacional no pueden perjudicar al asegurado ni a los terceros.</w:t>
      </w:r>
    </w:p>
    <w:p>
      <w:pPr>
        <w:pStyle w:val="[Normal]"/>
        <w:spacing w:line="360" w:lineRule="auto"/>
        <w:ind w:firstLine="1134"/>
        <w:jc w:val="both"/>
        <w:rPr>
          <w:lang w:val="es-AR" w:eastAsia="es-AR" w:bidi="es-AR"/>
        </w:rPr>
      </w:pPr>
      <w:r>
        <w:rPr>
          <w:lang w:val="es-AR" w:eastAsia="es-AR" w:bidi="es-AR"/>
        </w:rPr>
        <w:t xml:space="preserve">Tampoco enerva esta conclusión el hecho de que la póliza incorpore una cláusula de cobranza con suspensión automática (CA-CO 6.1). Aun siendo válida en abstracto, su oponibilidad externa requiere que el asegurador cumpla los deberes de información y de trato digno y equitativo (arts. 4 LDC y 1095 CCyC). No puede ampararse en una mecánica de suspensión “interna” para sorprender luego con un rechazo cuyo arribo al conocimiento del asegurado no prueba. </w:t>
      </w:r>
    </w:p>
    <w:p>
      <w:pPr>
        <w:pStyle w:val="[Normal]"/>
        <w:spacing w:line="360" w:lineRule="auto"/>
        <w:ind w:firstLine="1134"/>
        <w:jc w:val="both"/>
        <w:rPr>
          <w:lang w:val="es-AR" w:eastAsia="es-AR" w:bidi="es-AR"/>
        </w:rPr>
      </w:pPr>
      <w:r>
        <w:rPr>
          <w:lang w:val="es-AR" w:eastAsia="es-AR" w:bidi="es-AR"/>
        </w:rPr>
        <w:t xml:space="preserve">Y, si además se verifican -como en la especie- conductas ulteriores susceptibles de generar apariencia de cobertura -v.gr., percepción de cuotas posteriores sin reservas expresas, o actos de gestión del siniestro incompatibles con una declinación categórica-, ese comportamiento refuerza el déficit informativo inicial y activa el principio de buena fe (arts. 9 y 961 CCyC) en favor del adherente y de los terceros, consolidando la inoponibilidad.</w:t>
      </w:r>
    </w:p>
    <w:p>
      <w:pPr>
        <w:pStyle w:val="[Normal]"/>
        <w:spacing w:line="360" w:lineRule="auto"/>
        <w:ind w:firstLine="1134"/>
        <w:jc w:val="both"/>
        <w:rPr>
          <w:lang w:val="es-AR" w:eastAsia="es-AR" w:bidi="es-AR"/>
        </w:rPr>
      </w:pPr>
      <w:r>
        <w:rPr>
          <w:lang w:val="es-AR" w:eastAsia="es-AR" w:bidi="es-AR"/>
        </w:rPr>
        <w:t xml:space="preserve">Recapitulando, el agravio no puede prosperar porque parte de una premisa fáctica que el expediente no confirma: que la carta documento estaba </w:t>
      </w:r>
      <w:r>
        <w:rPr>
          <w:i/>
          <w:lang w:val="es-AR" w:eastAsia="es-AR" w:bidi="es-AR"/>
        </w:rPr>
        <w:t xml:space="preserve">“acreditada”</w:t>
      </w:r>
      <w:r>
        <w:rPr>
          <w:lang w:val="es-AR" w:eastAsia="es-AR" w:bidi="es-AR"/>
        </w:rPr>
        <w:t xml:space="preserve"> en términos idóneos y, por ello, tornaba innecesaria toda otra medida. Empero, lo que surge de las constancias de autos es que la aseguradora acompañó copia de la pieza postal y la individualizó como “Carta Documento Andreani. Rivadavia a González” dentro de su escrito del 24/08/2021, junto con la póliza y demás adjuntos. Ciertamente ello prueba el despacho y la existencia del documento, pero no satisface, por sí, el estándar de recepción fehaciente y oportuna exigido para la oponibilidad del rechazo (art. 56, Ley 17.418). En efecto, del mismo cargo electrónico de aquella presentación y su lista de adjuntos sólo se verifica la remisión (archivos y enlaces), no la trazabilidad completa de entrega en el domicilio contractual con identificación del receptor y fecha cierta.</w:t>
      </w:r>
    </w:p>
    <w:p>
      <w:pPr>
        <w:pStyle w:val="[Normal]"/>
        <w:spacing w:line="360" w:lineRule="auto"/>
        <w:ind w:firstLine="1134"/>
        <w:jc w:val="both"/>
        <w:rPr>
          <w:lang w:val="es-AR" w:eastAsia="es-AR" w:bidi="es-AR"/>
        </w:rPr>
      </w:pPr>
      <w:r>
        <w:rPr>
          <w:lang w:val="es-AR" w:eastAsia="es-AR" w:bidi="es-AR"/>
        </w:rPr>
        <w:t xml:space="preserve">Así pues, la excepción de falta de legitimación pasiva por “no seguro” parte en la especie de un presupuesto fáctico verdadero -la mora-, pero fracasa en el presupuesto jurídico de su proyección: el asegurador-proveedor no acreditó haber cumplido, de modo fehaciente y oportuno, el deber de informar el rechazo y la suspensión. </w:t>
      </w:r>
    </w:p>
    <w:p>
      <w:pPr>
        <w:pStyle w:val="[Normal]"/>
        <w:spacing w:line="360" w:lineRule="auto"/>
        <w:ind w:firstLine="1134"/>
        <w:jc w:val="both"/>
        <w:rPr>
          <w:lang w:val="es-AR" w:eastAsia="es-AR" w:bidi="es-AR"/>
        </w:rPr>
      </w:pPr>
      <w:r>
        <w:rPr>
          <w:lang w:val="es-AR" w:eastAsia="es-AR" w:bidi="es-AR"/>
        </w:rPr>
        <w:t xml:space="preserve">En suma, corresponde confirmar el rechazo de la excepción con base en el art. 56 L.S. integrado por los arts. 42 CN, 3 y 4 LDC y 1092/1095 CCyC.</w:t>
      </w:r>
    </w:p>
    <w:p>
      <w:pPr>
        <w:pStyle w:val="[Normal]"/>
        <w:spacing w:line="360" w:lineRule="auto"/>
        <w:ind w:firstLine="1134"/>
        <w:jc w:val="both"/>
        <w:rPr>
          <w:lang w:val="es-AR" w:eastAsia="es-AR" w:bidi="es-AR"/>
        </w:rPr>
      </w:pPr>
      <w:r>
        <w:rPr>
          <w:lang w:val="es-AR" w:eastAsia="es-AR" w:bidi="es-AR"/>
        </w:rPr>
        <w:t xml:space="preserve">III.- En relación al pedido subsidiario de producción de prueba  en alzada que fuera instado por la citada en garantía, entiendo que no puede receptarse favorablemente por cuatro razones concurrentes.</w:t>
      </w:r>
    </w:p>
    <w:p>
      <w:pPr>
        <w:pStyle w:val="[Normal]"/>
        <w:spacing w:line="360" w:lineRule="auto"/>
        <w:ind w:firstLine="1134"/>
        <w:jc w:val="both"/>
        <w:rPr>
          <w:lang w:val="es-AR" w:eastAsia="es-AR" w:bidi="es-AR"/>
        </w:rPr>
      </w:pPr>
      <w:r>
        <w:rPr>
          <w:lang w:val="es-AR" w:eastAsia="es-AR" w:bidi="es-AR"/>
        </w:rPr>
        <w:t xml:space="preserve">Primero, porque la apelación es una instancia de revisión y no un nuevo estadio instructorio. La regla en el proceso judicial bonaerense es la preclusión: la actividad probatoria debe cumplirse en la etapa oportuna y bajo la carga de quien invoca el hecho a acreditar (arts. 34 inc. 5, 375 y 384 CPCCBA). La aseguradora fundó su defensa en la oponibilidad del rechazo por art. 56 L.S.; por tanto, le incumbía en primera instancia agotar todas las diligencias necesarias para probar la recepción fehaciente y oportuna de la carta documento. Al respecto, no demostró imposibilidad no imputable ni negativa injustificada del tercero que habiliten la producción tardía. </w:t>
      </w:r>
    </w:p>
    <w:p>
      <w:pPr>
        <w:pStyle w:val="[Normal]"/>
        <w:spacing w:line="360" w:lineRule="auto"/>
        <w:ind w:firstLine="1134"/>
        <w:jc w:val="both"/>
        <w:rPr>
          <w:lang w:val="es-AR" w:eastAsia="es-AR" w:bidi="es-AR"/>
        </w:rPr>
      </w:pPr>
      <w:r>
        <w:rPr>
          <w:lang w:val="es-AR" w:eastAsia="es-AR" w:bidi="es-AR"/>
        </w:rPr>
        <w:t xml:space="preserve">Segundo, porque lo pedido no encuadra en ninguno de los supuestos excepcionalísimos que habilitan prueba en segunda instancia: no se trata de hechos posteriores, de prueba recién conocida, ni de prueba indebidamente denegada o imposible por causa ajena (v. gr., art. 260 y concs., en concordancia con las facultades ordenatorias de los arts. 34 inc. 5 y 36 CPCCBA). Es, lisa y llanamente, un medio confirmatorio que la propia recurrente pudo y debió instar antes. </w:t>
      </w:r>
    </w:p>
    <w:p>
      <w:pPr>
        <w:pStyle w:val="[Normal]"/>
        <w:spacing w:line="360" w:lineRule="auto"/>
        <w:ind w:firstLine="1134"/>
        <w:jc w:val="both"/>
        <w:rPr>
          <w:lang w:val="es-AR" w:eastAsia="es-AR" w:bidi="es-AR"/>
        </w:rPr>
      </w:pPr>
      <w:r>
        <w:rPr>
          <w:lang w:val="es-AR" w:eastAsia="es-AR" w:bidi="es-AR"/>
        </w:rPr>
        <w:t xml:space="preserve">La jurisprudencia constante de la SCBA ha señalado que la alzada no puede convertirse en “instancia supletoria” de la negligencia probatoria. Así se ha dicho que</w:t>
      </w:r>
      <w:r>
        <w:rPr>
          <w:color w:val="000000"/>
          <w:lang w:val="es-AR" w:eastAsia="es-AR" w:bidi="es-AR"/>
        </w:rPr>
        <w:t xml:space="preserve">: </w:t>
      </w:r>
      <w:r>
        <w:rPr>
          <w:i/>
          <w:color w:val="000000"/>
          <w:lang w:val="es-AR" w:eastAsia="es-AR" w:bidi="es-AR"/>
        </w:rPr>
        <w:t xml:space="preserve">"</w:t>
      </w:r>
      <w:r>
        <w:rPr>
          <w:i/>
          <w:lang w:val="es-AR" w:eastAsia="es-AR" w:bidi="es-AR"/>
        </w:rPr>
        <w:t xml:space="preserve">La apertura del juicio a prueba en segunda instancia reviste carácter excepcional, pues las situaciones que autorizan a proceder de tal forma son señaladas en la ley de modo limitativo y, dentro de las hipótesis planteadas, la viabilidad de la medida debe decidirse con criterio estricto para no producir dilaciones en el proceso, ni desequilibrar la igualdad de las partes o reabrir cuestiones sobre procedimientos precluidos"</w:t>
      </w:r>
      <w:r>
        <w:rPr>
          <w:lang w:val="es-AR" w:eastAsia="es-AR" w:bidi="es-AR"/>
        </w:rPr>
        <w:t xml:space="preserve"> (CC0201 LP 111677 RSI-264-9 I 29-9-2009 JUBA B257248) y que ...</w:t>
      </w:r>
      <w:r>
        <w:rPr>
          <w:i/>
          <w:lang w:val="es-AR" w:eastAsia="es-AR" w:bidi="es-AR"/>
        </w:rPr>
        <w:t xml:space="preserve">"El art. 255 inc. 5 del Código adjetivo, prescribe que la apertura a prueba en esta instancia procede únicamente cuando, se alegare un hecho nuevo a los que se refiere el ap. a), o bien se formulare algún pedido de replanteo de prueba a los que alude el inc. 2 del mismo artículo..." </w:t>
      </w:r>
      <w:r>
        <w:rPr>
          <w:lang w:val="es-AR" w:eastAsia="es-AR" w:bidi="es-AR"/>
        </w:rPr>
        <w:t xml:space="preserve">(CC0001 QL 9337 RSI-269-6 I 28-9-2006  JUBA B2903230).-</w:t>
      </w:r>
    </w:p>
    <w:p>
      <w:pPr>
        <w:pStyle w:val="[Normal]"/>
        <w:spacing w:line="360" w:lineRule="auto"/>
        <w:ind w:firstLine="1134"/>
        <w:jc w:val="both"/>
        <w:rPr>
          <w:lang w:val="es-AR" w:eastAsia="es-AR" w:bidi="es-AR"/>
        </w:rPr>
      </w:pPr>
      <w:r>
        <w:rPr>
          <w:lang w:val="es-AR" w:eastAsia="es-AR" w:bidi="es-AR"/>
        </w:rPr>
        <w:t xml:space="preserve">Tercero, porque la diligencia propuesta es inidónea para modificar el resultado. Aún si Andreani informara el mero despacho de la carta, la cuestión decisiva -y que motivó el rechazo de la defensa- es la recepción fehaciente y tempestiva por el asegurado, con identificación y trazabilidad suficientes, extremos que no se suplen con informes genéricos ni con constancias incompletas. La propia documental acompañada por la aseguradora muestra ese déficit; un nuevo oficio en alzada, planteado en abstracto y sin precisar puntualmente qué dato faltante se obtendría, constituye una </w:t>
      </w:r>
      <w:r>
        <w:rPr>
          <w:i/>
          <w:lang w:val="es-AR" w:eastAsia="es-AR" w:bidi="es-AR"/>
        </w:rPr>
        <w:t xml:space="preserve">"oferta de prueba"</w:t>
      </w:r>
      <w:r>
        <w:rPr>
          <w:lang w:val="es-AR" w:eastAsia="es-AR" w:bidi="es-AR"/>
        </w:rPr>
        <w:t xml:space="preserve"> que no supera la insuficiencia nuclear que impide la oponibilidad (art. 56 L.S.).</w:t>
      </w:r>
    </w:p>
    <w:p>
      <w:pPr>
        <w:pStyle w:val="[Normal]"/>
        <w:spacing w:line="360" w:lineRule="auto"/>
        <w:ind w:firstLine="1134"/>
        <w:jc w:val="both"/>
        <w:rPr>
          <w:lang w:val="es-AR" w:eastAsia="es-AR" w:bidi="es-AR"/>
        </w:rPr>
      </w:pPr>
      <w:r>
        <w:rPr>
          <w:lang w:val="es-AR" w:eastAsia="es-AR" w:bidi="es-AR"/>
        </w:rPr>
        <w:t xml:space="preserve">Cuarto, porque acceder ahora implicaría vulnerar la igualdad de las partes y la economía procesal. La actora estructuró su defensa en torno a la falta de acreditación fehaciente ya verificada en la instancia de grado; permitir una </w:t>
      </w:r>
      <w:r>
        <w:rPr>
          <w:i/>
          <w:lang w:val="es-AR" w:eastAsia="es-AR" w:bidi="es-AR"/>
        </w:rPr>
        <w:t xml:space="preserve">“segunda oportunidad probatoria” </w:t>
      </w:r>
      <w:r>
        <w:rPr>
          <w:lang w:val="es-AR" w:eastAsia="es-AR" w:bidi="es-AR"/>
        </w:rPr>
        <w:t xml:space="preserve">en revisión desnaturaliza la función de la alzada, prolonga indebidamente el litigio y proyecta sobre los terceros damnificados el costo temporal de una negligencia ajena. Las medidas instructorias de oficio de la Cámara (arts. 34 inc. 5 y 36 CPCCBA) son de uso subsidiario y excepcional y no pueden ser utilizadas para recomponer estrategias probatorias agotadas.</w:t>
      </w:r>
    </w:p>
    <w:p>
      <w:pPr>
        <w:pStyle w:val="[Normal]"/>
        <w:spacing w:line="360" w:lineRule="auto"/>
        <w:ind w:firstLine="1134"/>
        <w:jc w:val="both"/>
        <w:rPr>
          <w:lang w:val="es-AR" w:eastAsia="es-AR" w:bidi="es-AR"/>
        </w:rPr>
      </w:pPr>
      <w:r>
        <w:rPr>
          <w:lang w:val="es-AR" w:eastAsia="es-AR" w:bidi="es-AR"/>
        </w:rPr>
        <w:t xml:space="preserve">En síntesis, la prueba subsidiaria en alzada no procede por extemporánea, por falta de justificación de imposibilidad no imputable, por inidoneidad para conmover el fundamento del fallo y por contrariar la lógica funcional de la segunda instancia. Corresponde, entonces, desestimarla y decidir el recurso con el material válidamente incorporado, manteniendo la inoponibilidad de la suspensión por incumplimiento del art. 56 de la Ley de Seguros.</w:t>
      </w:r>
    </w:p>
    <w:p>
      <w:pPr>
        <w:pStyle w:val="[Normal]"/>
        <w:spacing w:line="360" w:lineRule="auto"/>
        <w:ind w:firstLine="1134"/>
        <w:jc w:val="both"/>
        <w:rPr>
          <w:lang w:val="es-AR" w:eastAsia="es-AR" w:bidi="es-AR"/>
        </w:rPr>
      </w:pPr>
      <w:r>
        <w:rPr>
          <w:lang w:val="es-AR" w:eastAsia="es-AR" w:bidi="es-AR"/>
        </w:rPr>
        <w:t xml:space="preserve">En consecuencia, propicio confirmar el rechazo de la defensa de </w:t>
      </w:r>
      <w:r>
        <w:rPr>
          <w:i/>
          <w:lang w:val="es-AR" w:eastAsia="es-AR" w:bidi="es-AR"/>
        </w:rPr>
        <w:t xml:space="preserve">“no seguro por falta de pago”</w:t>
      </w:r>
      <w:r>
        <w:rPr>
          <w:lang w:val="es-AR" w:eastAsia="es-AR" w:bidi="es-AR"/>
        </w:rPr>
        <w:t xml:space="preserve"> por incumplimiento de los deberes de información y de la carga de pronunciarse en forma fehaciente y oportuna, sin perjuicio de dejar a salvo que la mora quedó demostrada pero no fue jurídicamente proyectada conforme a las exigencias del régimen legal y contractual aplicable.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citada en garantía Seguros Bernardino Rivadavia Cooperativa Limitada,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citada en garantía Seguros Bernardino Rivadavia Cooperativa Limitada,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10:20:03 -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11:01:49 -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11:31:05 -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‰8O")è&amp;ee,"Š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244702090006696912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11:31:35 hs. bajo el número RS-163-2025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