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5834-25</w:t>
      </w:r>
      <w:r>
        <w:rPr>
          <w:lang w:val="es-AR" w:eastAsia="es-AR" w:bidi="es-AR"/>
        </w:rPr>
        <w:t xml:space="preserve"> caratulada </w:t>
      </w:r>
      <w:r>
        <w:rPr>
          <w:b/>
          <w:lang w:val="es-AR" w:eastAsia="es-AR" w:bidi="es-AR"/>
        </w:rPr>
        <w:t xml:space="preserve">"</w:t>
      </w:r>
      <w:r>
        <w:rPr>
          <w:b/>
          <w:color w:val="000000"/>
          <w:lang w:val="es-AR" w:eastAsia="es-AR" w:bidi="es-AR"/>
        </w:rPr>
        <w:t xml:space="preserve">FALESSI ELENA S/ SUCESION AB INTESTATO</w:t>
      </w:r>
      <w:r>
        <w:rPr>
          <w:b/>
          <w:lang w:val="es-AR" w:eastAsia="es-AR" w:bidi="es-AR"/>
        </w:rPr>
        <w:t xml:space="preserve">"</w:t>
      </w:r>
      <w:r>
        <w:rPr>
          <w:lang w:val="es-AR" w:eastAsia="es-AR" w:bidi="es-AR"/>
        </w:rPr>
        <w:t xml:space="preserve">, Expte. </w:t>
      </w:r>
      <w:r>
        <w:rPr>
          <w:color w:val="000000"/>
          <w:lang w:val="es-AR" w:eastAsia="es-AR" w:bidi="es-AR"/>
        </w:rPr>
        <w:t xml:space="preserve">16.757</w:t>
      </w:r>
      <w:r>
        <w:rPr>
          <w:color w:val="000000"/>
          <w:lang w:val="es-AR" w:eastAsia="es-AR" w:bidi="es-AR"/>
        </w:rPr>
        <w:t xml:space="preserve"> </w:t>
      </w:r>
      <w:r>
        <w:rPr>
          <w:lang w:val="es-AR" w:eastAsia="es-AR" w:bidi="es-AR"/>
        </w:rPr>
        <w:t xml:space="preserve">del Juzgado de Paz de Colón,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no hizo lugar a lo solicitado por los Sres. Diego Daniel Serafini, Rodolfo Fabián Serafini y María Alejandra Serafini al considerar que no revisten la calidad de herederos testamentarios de la Sra. Nancy Delma Serafini, sino que han sido instituidos legatarios de cosa cierta al haberse dispuesto expresamente en el testamento los bienes que a cada uno de ellos le corresponde, conforme surge del testamento adjunto en fecha 04/11/2022. Sostuvo que los legatarios de cosa cierta, al no integrar la comunidad hereditaria, a diferencia de los herederos y de los legatarios de parte alícuota, carecen de legitimación para intervenir como copartícipes en acuerdos particionarios, limitándose su derecho a exigir la entrega del legado dispuesto en su favor. Concluyó, que todo acuerdo que implique modificar lo legado por Nancy Delma Serafini a los mencionados legatarios no constituye un acto particionario, sino un contrato de distinta naturaleza (compraventa, cesión de derechos, etc.), debiendo cumplirse en tales casos con las formalidades que resulten legalmente exigibles.</w:t>
      </w:r>
    </w:p>
    <w:p>
      <w:pPr>
        <w:pStyle w:val="[Normal]"/>
        <w:spacing w:line="360" w:lineRule="auto"/>
        <w:ind w:firstLine="1134"/>
        <w:jc w:val="both"/>
        <w:rPr>
          <w:lang w:val="es-AR" w:eastAsia="es-AR" w:bidi="es-AR"/>
        </w:rPr>
      </w:pPr>
      <w:r>
        <w:rPr>
          <w:lang w:val="es-AR" w:eastAsia="es-AR" w:bidi="es-AR"/>
        </w:rPr>
        <w:t xml:space="preserve">Tal decisorio fue objeto de recurso de apelación interpuesto subsidiariamente por Diego Daniel Serafini y Rodolfo Fabián Serafini el día 21-8-2025, concedido el 5-9-2025 en relación y en efecto suspensivo.  Elevados los autos a esta Alzada con fecha 18-9-2025 se dicta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 memorial realiza un desarrollo conceptual de la figura del legado de cosa cierta, el estado de indivisión y la partición como acto que da por finalizado la masa indivisa. Refiere que la única finalidad que tiene el acuerdo particionario agregado en autos es dar fin a la indivisión generada en el presente sucesorio, y más allá de la calidad de los sujetos involucrados, sean estos herederos o legatarios. Añade que no hacer lugar a la homologación entorpecería a los legatarios de hacerse de la cosa cierta, en definitiva propietarios de la porción que por testamento les pertenece. La adjudicación dispuesta por convenio, sería cumplir fielmente la voluntad de la testadora, sin alterar su esencia y logrando el objetivo de que los beneficiarios de su legado puedan materializar en concreto su porción de propiedad sobre el predio rural.</w:t>
      </w:r>
    </w:p>
    <w:p>
      <w:pPr>
        <w:pStyle w:val="[Normal]"/>
        <w:spacing w:line="360" w:lineRule="auto"/>
        <w:ind w:firstLine="1134"/>
        <w:jc w:val="both"/>
        <w:rPr>
          <w:lang w:val="es-AR" w:eastAsia="es-AR" w:bidi="es-AR"/>
        </w:rPr>
      </w:pPr>
      <w:r>
        <w:rPr>
          <w:lang w:val="es-AR" w:eastAsia="es-AR" w:bidi="es-AR"/>
        </w:rPr>
        <w:t xml:space="preserve">Cita doctrina, jurisprudencia en apoyo de su planteo, y señala la posibilidad de que en los acuerdos particionarios se instrumenten los llamados negocios mixtos, en donde se combinan o unifican dos o mas causas negociales típicas. Señala que acceder a lo peticionado, iría en favor de los beneficiarios de los sujetos involucrados, en una marcada ventaja en términos de celeridad y economía procesal.</w:t>
      </w:r>
    </w:p>
    <w:p>
      <w:pPr>
        <w:pStyle w:val="[Normal]"/>
        <w:spacing w:line="360" w:lineRule="auto"/>
        <w:ind w:firstLine="1134"/>
        <w:jc w:val="both"/>
        <w:rPr>
          <w:lang w:val="es-AR" w:eastAsia="es-AR" w:bidi="es-AR"/>
        </w:rPr>
      </w:pPr>
      <w:r>
        <w:rPr>
          <w:lang w:val="es-AR" w:eastAsia="es-AR" w:bidi="es-AR"/>
        </w:rPr>
        <w:t xml:space="preserve">Aduna en sus fundamentos, la libertad de formas para realizar los acuerdos particionarios, lo que haría procedente el pedido de homologación. Finalmente, sostiene que el objetivo de la partición es dar por concluido el estado de indivisión postcomunitaria, y esta división de los bienes de la herencia debe ser realizada con los herederos y/o copartícipes, encontrándose a su criterio los legatarios de cosa cierta incluidos en este último supuesto. Por todo ello es que solicita se revoque la providencia y se proceda a homologar el acuerdo particionario agregado.</w:t>
      </w:r>
    </w:p>
    <w:p>
      <w:pPr>
        <w:pStyle w:val="[Normal]"/>
        <w:spacing w:line="360" w:lineRule="auto"/>
        <w:ind w:firstLine="1134"/>
        <w:jc w:val="both"/>
        <w:rPr>
          <w:lang w:val="es-AR" w:eastAsia="es-AR" w:bidi="es-AR"/>
        </w:rPr>
      </w:pPr>
      <w:r>
        <w:rPr>
          <w:lang w:val="es-AR" w:eastAsia="es-AR" w:bidi="es-AR"/>
        </w:rPr>
        <w:t xml:space="preserve">En oportunidad de resolver la revocatoria, la Jueza de origen decidió confirmar el proveído apelado, aduciendo que la resolución recurrida se encuentra debidamente fundada en derecho, remitiéndose a los argumentos allí esbozados.</w:t>
      </w:r>
    </w:p>
    <w:p>
      <w:pPr>
        <w:pStyle w:val="[Normal]"/>
        <w:spacing w:line="360" w:lineRule="auto"/>
        <w:ind w:firstLine="1134"/>
        <w:jc w:val="both"/>
        <w:rPr>
          <w:lang w:val="es-AR" w:eastAsia="es-AR" w:bidi="es-AR"/>
        </w:rPr>
      </w:pPr>
      <w:r>
        <w:rPr>
          <w:lang w:val="es-AR" w:eastAsia="es-AR" w:bidi="es-AR"/>
        </w:rPr>
        <w:t xml:space="preserve">Liminarmente debo determinar en este caso el marco regulatorio que he de aplicar para dar resolución al planteo realizado por el recurrente, pues tratándose de un juicio sucesorio, deberá aplicarse la ley vigente al momento del deceso de los causantes (Cfr. CAP 4284/21, RSI 158/21).</w:t>
      </w:r>
    </w:p>
    <w:p>
      <w:pPr>
        <w:pStyle w:val="[Normal]"/>
        <w:spacing w:line="360" w:lineRule="auto"/>
        <w:ind w:firstLine="1134"/>
        <w:jc w:val="both"/>
        <w:rPr>
          <w:lang w:val="es-AR" w:eastAsia="es-AR" w:bidi="es-AR"/>
        </w:rPr>
      </w:pPr>
      <w:r>
        <w:rPr>
          <w:lang w:val="es-AR" w:eastAsia="es-AR" w:bidi="es-AR"/>
        </w:rPr>
        <w:t xml:space="preserve">En el caso se verifica que el fallecimiento de la causante fue 7/7/1995 (fs. 3 partida de defunción) por lo que se deberá aplicar las disposiciones del Código Civil Velezano (art. 3 C.C.; art. 7 y conc. del CCyC).</w:t>
      </w:r>
    </w:p>
    <w:p>
      <w:pPr>
        <w:pStyle w:val="[Normal]"/>
        <w:spacing w:line="360" w:lineRule="auto"/>
        <w:ind w:firstLine="1134"/>
        <w:jc w:val="both"/>
        <w:rPr>
          <w:lang w:val="es-AR" w:eastAsia="es-AR" w:bidi="es-AR"/>
        </w:rPr>
      </w:pPr>
      <w:r>
        <w:rPr>
          <w:lang w:val="es-AR" w:eastAsia="es-AR" w:bidi="es-AR"/>
        </w:rPr>
        <w:t xml:space="preserve">Sentado ello e ingresando en el estudio de la cuestión sometida a consideración de este Tribunal, resulta dable señalar que e</w:t>
      </w:r>
      <w:r>
        <w:rPr>
          <w:lang w:val="es-AR" w:eastAsia="es-AR" w:bidi="es-AR"/>
        </w:rPr>
        <w:t xml:space="preserve">n cuanto a lo sustancial de la partición, la posibilidad de disponer en forma privada de los bienes del sucesorio está expresamente contemplada en el Código Civil, cuando en su art. 3462 dispone que "</w:t>
      </w:r>
      <w:r>
        <w:rPr>
          <w:i/>
          <w:lang w:val="es-AR" w:eastAsia="es-AR" w:bidi="es-AR"/>
        </w:rPr>
        <w:t xml:space="preserve">Si todos los herederos están presentes y son capaces, la partición puede hacerse en la forma y por el acto que por unanimidad juzguen convenientes</w:t>
      </w:r>
      <w:r>
        <w:rPr>
          <w:lang w:val="es-AR" w:eastAsia="es-AR" w:bidi="es-AR"/>
        </w:rPr>
        <w:t xml:space="preserve">". En consonancia, el art. 761 del CPCC, establece que si todos los herederos están presentes y son capaces, podrán convenir la partición en la forma y por el acto que, por unanimidad, juzguen conveniente.</w:t>
      </w:r>
    </w:p>
    <w:p>
      <w:pPr>
        <w:pStyle w:val="[Normal]"/>
        <w:spacing w:line="360" w:lineRule="auto"/>
        <w:ind w:firstLine="1134"/>
        <w:jc w:val="both"/>
        <w:rPr>
          <w:color w:val="000000"/>
          <w:lang w:val="es-AR" w:eastAsia="es-AR" w:bidi="es-AR"/>
        </w:rPr>
      </w:pPr>
      <w:r>
        <w:rPr>
          <w:color w:val="000000"/>
          <w:lang w:val="es-AR" w:eastAsia="es-AR" w:bidi="es-AR"/>
        </w:rPr>
        <w:t xml:space="preserve">En tal sentido se ha dicho que "La partición es la última etapa del proceso sucesorio, destinada a poner término al estado de indivisión de los bienes, seguida y completada con la adjudicación, a cada uno de los interesados, de la porción que les corresponda según las reglas del Código Civil o las disposiciones del testador" (Cuadrado, Cód. Proc. Civ. y Com. de la Nación comentado y concordado, 4ta. Edición, 1987, pág. 941).-</w:t>
      </w:r>
    </w:p>
    <w:p>
      <w:pPr>
        <w:pStyle w:val="[Normal]"/>
        <w:spacing w:line="360" w:lineRule="auto"/>
        <w:ind w:firstLine="1134"/>
        <w:jc w:val="both"/>
        <w:rPr>
          <w:lang w:val="es-AR" w:eastAsia="es-AR" w:bidi="es-AR"/>
        </w:rPr>
      </w:pPr>
      <w:r>
        <w:rPr>
          <w:lang w:val="es-AR" w:eastAsia="es-AR" w:bidi="es-AR"/>
        </w:rPr>
        <w:t xml:space="preserve">Sentado lo anterior, y analizando el memorial, advierto que el centro neurálgico de la cuestión litigiosa sometida a revisión estriba en si corresponde o no homologar el acuerdo privado de división, partición y adjudicación presentado en fecha 10/7/2025 por los Sres. Diego Daniel Serafini, Rodolfo Fabián Serafini y Maria Alejandra Serafini, quienes se presentan por derecho propio y en carácter de herederos reconocidos en los autos "Serafini Nancy Delma s/sucesión testamentaria" (Exp. N° 28.193), Rodolfo Serafini, con el patrocinio letrado del Dr. Matias Dario Righetti y Alicia Beatriz Serafini, con el patrocinio letrado de Leonardo Fabian Paolili, estos últimos declarados herederos en autos, en relación a los bienes denunciados en el presente sucesorio (un inmueble en Colón Matrícula 021-7767 y dos inmuebles rurales identificados con las matrículas 021-1591 y 021-7768). Y en particular, en determinar si la jueza de grado ha obrado conforme a derecho al desestimar la petición homologatoria.-</w:t>
      </w:r>
    </w:p>
    <w:p>
      <w:pPr>
        <w:pStyle w:val="[Normal]"/>
        <w:spacing w:line="360" w:lineRule="auto"/>
        <w:ind w:firstLine="1134"/>
        <w:jc w:val="both"/>
        <w:rPr>
          <w:lang w:val="es-AR" w:eastAsia="es-AR" w:bidi="es-AR"/>
        </w:rPr>
      </w:pPr>
      <w:r>
        <w:rPr>
          <w:lang w:val="es-AR" w:eastAsia="es-AR" w:bidi="es-AR"/>
        </w:rPr>
        <w:t xml:space="preserve">Y adelanto opinión que he de coincidir con lo resuelto por la operadora de origen, toda vez que no nos encontramos en el caso, en un acuerdo de partición celebrado por todos los herederos presentes, toda vez que una de las herederas declaradas en el presente sucesorio, Sra. Nancy Delma falleció el 7/11/2010, con anterioridad a la celebración del acuerdo, y en su representación se presentan los Sres. Diego Daniel, Rodolfo Fabián y Maria Alejandra Serafini, herederos testamentarios conforme instrumento agregado el 4/11/2022.</w:t>
      </w:r>
    </w:p>
    <w:p>
      <w:pPr>
        <w:pStyle w:val="[Normal]"/>
        <w:spacing w:line="360" w:lineRule="auto"/>
        <w:ind w:firstLine="1134"/>
        <w:jc w:val="both"/>
        <w:rPr>
          <w:lang w:val="es-AR" w:eastAsia="es-AR" w:bidi="es-AR"/>
        </w:rPr>
      </w:pPr>
      <w:r>
        <w:rPr>
          <w:lang w:val="es-AR" w:eastAsia="es-AR" w:bidi="es-AR"/>
        </w:rPr>
        <w:t xml:space="preserve">El art. 2498 C.C.C.N. norma sobre la cual se basó la resolución apelada se refiere a "</w:t>
      </w:r>
      <w:r>
        <w:rPr>
          <w:i/>
          <w:lang w:val="es-AR" w:eastAsia="es-AR" w:bidi="es-AR"/>
        </w:rPr>
        <w:t xml:space="preserve">El legatario de cosa cierta y determinada puede reivindicarla, con citación del heredero. Debe pedir su entrega al heredero, al administrador o al albacea, aunque la tenga en su poder por cualquier título</w:t>
      </w:r>
      <w:r>
        <w:rPr>
          <w:lang w:val="es-AR" w:eastAsia="es-AR" w:bidi="es-AR"/>
        </w:rPr>
        <w:t xml:space="preserve">". Esta norma consagra la misma solución que tenía el viejo Código Civil de Vélez, el cual debe aplicarse para dar solución al caso y que en esta materia expresamente decía, "</w:t>
      </w:r>
      <w:r>
        <w:rPr>
          <w:i/>
          <w:lang w:val="es-AR" w:eastAsia="es-AR" w:bidi="es-AR"/>
        </w:rPr>
        <w:t xml:space="preserve">El legatario no puede tomar la cosa legada sin pedirla al heredero o albacea, encargado de cumplir los legados. Los gastos de la entrega del legado son a cargo de la sucesión</w:t>
      </w:r>
      <w:r>
        <w:rPr>
          <w:lang w:val="es-AR" w:eastAsia="es-AR" w:bidi="es-AR"/>
        </w:rPr>
        <w:t xml:space="preserve">" (art. 3767 del C.C.).</w:t>
      </w:r>
    </w:p>
    <w:p>
      <w:pPr>
        <w:pStyle w:val="[Normal]"/>
        <w:spacing w:line="360" w:lineRule="auto"/>
        <w:ind w:firstLine="1134"/>
        <w:jc w:val="both"/>
        <w:rPr>
          <w:lang w:val="es-AR" w:eastAsia="es-AR" w:bidi="es-AR"/>
        </w:rPr>
      </w:pPr>
      <w:r>
        <w:rPr>
          <w:lang w:val="es-AR" w:eastAsia="es-AR" w:bidi="es-AR"/>
        </w:rPr>
        <w:t xml:space="preserve">Sentado lo anterior, y del análisis de las constancias existentes en la MEV en el sucesorio N° 28.193, caratulado "Nancy Delma Serafini s/ Sucesión testamentaria y ab-intestato", se advierte que en fecha 3/11/2011 se dictó declaratoria de herederos en favor de los hermanos de la causante Sres. Rodolfo y Alicia Serafini, y que también se declaró válido el testamento acompañado, mediante resolución de fecha 2/9/2011. Por tal motivo, coincido con la jueza de origen, que los legatarios instituidos en aquel testamento, deben pedir el cumplimiento del instrumento allí acompañado, y en el marco de aquel sucesorio, a los herederos declarados mediante resolución de fecha 3/11/2011. </w:t>
      </w:r>
    </w:p>
    <w:p>
      <w:pPr>
        <w:pStyle w:val="[Normal]"/>
        <w:spacing w:line="360" w:lineRule="auto"/>
        <w:ind w:firstLine="1134"/>
        <w:jc w:val="both"/>
        <w:rPr>
          <w:lang w:val="es-AR" w:eastAsia="es-AR" w:bidi="es-AR"/>
        </w:rPr>
      </w:pPr>
      <w:r>
        <w:rPr>
          <w:lang w:val="es-AR" w:eastAsia="es-AR" w:bidi="es-AR"/>
        </w:rPr>
        <w:t xml:space="preserve">Por tal motivo, y sí mediante el acuerdo particionario aquí adjuntado, pretendiesen tomar la cosa legada, tal cometido tiene que ser requerido a los herederos declarados, y en el sucesorio de la Sra. Serafini. En definitiva no se encuentran legitimados a tales efectos en el sucesorio de su abuela,  pues aquí no han sido declarados herederos testamentarios. </w:t>
      </w:r>
    </w:p>
    <w:p>
      <w:pPr>
        <w:pStyle w:val="[Normal]"/>
        <w:spacing w:line="360" w:lineRule="auto"/>
        <w:ind w:firstLine="1134"/>
        <w:jc w:val="both"/>
        <w:rPr>
          <w:lang w:val="es-AR" w:eastAsia="es-AR" w:bidi="es-AR"/>
        </w:rPr>
      </w:pPr>
      <w:r>
        <w:rPr>
          <w:lang w:val="es-AR" w:eastAsia="es-AR" w:bidi="es-AR"/>
        </w:rPr>
        <w:t xml:space="preserve">En efecto, los herederos declarados en esta sucesión son los hijos de la causante, Sres. Rodolfo, Alicia y Nancy D. Serafini, y entre ellos es que se debe partir la masa hereditaria. A todo evento, y como en el caso, si una de las coherederas se encuentra fallecida, se tendrá primero que determinar la porción que a ella le corresponde, para luego denunciar dichos bienes y en debida forma en su sucesorio, para que allí luego se proceda al cumplimiento del legado por ella impartido en su testamento.</w:t>
      </w:r>
    </w:p>
    <w:p>
      <w:pPr>
        <w:pStyle w:val="[Normal]"/>
        <w:spacing w:line="360" w:lineRule="auto"/>
        <w:ind w:firstLine="1134"/>
        <w:jc w:val="both"/>
        <w:rPr>
          <w:lang w:val="es-AR" w:eastAsia="es-AR" w:bidi="es-AR"/>
        </w:rPr>
      </w:pPr>
      <w:r>
        <w:rPr>
          <w:lang w:val="es-AR" w:eastAsia="es-AR" w:bidi="es-AR"/>
        </w:rPr>
        <w:t xml:space="preserve">En resumen, los recurrentes son legatarios, pero no de la causante de autos, sino de la heredera declarada en este sucesorio, por tal motivo carecen de legitimación para celebrar el instrumento que pretenden homologar. </w:t>
      </w:r>
    </w:p>
    <w:p>
      <w:pPr>
        <w:pStyle w:val="[Normal]"/>
        <w:spacing w:line="360" w:lineRule="auto"/>
        <w:ind w:firstLine="1134"/>
        <w:jc w:val="both"/>
        <w:rPr>
          <w:lang w:val="es-AR" w:eastAsia="es-AR" w:bidi="es-AR"/>
        </w:rPr>
      </w:pPr>
      <w:r>
        <w:rPr>
          <w:lang w:val="es-AR" w:eastAsia="es-AR" w:bidi="es-AR"/>
        </w:rPr>
        <w:t xml:space="preserve">En la memoria manifiestan que con la distribución realizada se encuentra respetada la voluntad de la testadora Sra. Nancy D. Serafini, sin embargo, no se vislumbra con claridad que ello sea así, toda vez que primero se debe determinar la porción que le corresponde a la hija fallecida, y determinado ello, deberá declararse en aquel expediente sucesorio a los fines de partir y adjudicar en aquella sucesión los bienes pertenecientes a aquella.</w:t>
      </w:r>
    </w:p>
    <w:p>
      <w:pPr>
        <w:pStyle w:val="[Normal]"/>
        <w:spacing w:line="360" w:lineRule="auto"/>
        <w:ind w:firstLine="1134"/>
        <w:jc w:val="both"/>
        <w:rPr>
          <w:lang w:val="es-AR" w:eastAsia="es-AR" w:bidi="es-AR"/>
        </w:rPr>
      </w:pPr>
      <w:r>
        <w:rPr>
          <w:lang w:val="es-AR" w:eastAsia="es-AR" w:bidi="es-AR"/>
        </w:rPr>
        <w:t xml:space="preserve">Es dable señalar aquí que la partición es el acto jurídico mediante el cual los herederos dejan de tener una porción ideal en la herencia para adquirir la propiedad de bienes determinados (conf. Herrera - Caramelo - Picasso, Código Civil y Comercial de la Nación Comentado, Libros Quinto y Sexto, Ed. actualizada 2022, Ediciones SAIJ INFOJUS, libro digital, pág. 110). </w:t>
      </w:r>
    </w:p>
    <w:p>
      <w:pPr>
        <w:pStyle w:val="[Normal]"/>
        <w:spacing w:line="360" w:lineRule="auto"/>
        <w:ind w:firstLine="1134"/>
        <w:jc w:val="both"/>
        <w:rPr>
          <w:lang w:val="es-AR" w:eastAsia="es-AR" w:bidi="es-AR"/>
        </w:rPr>
      </w:pPr>
      <w:r>
        <w:rPr>
          <w:lang w:val="es-AR" w:eastAsia="es-AR" w:bidi="es-AR"/>
        </w:rPr>
        <w:t xml:space="preserve">En el sucesorio aquí traído a resolver, la partición debe ser realizada sobre el haber hereditario perteneciente a la causante, y con la intervención de todos los herederos presentes y capaces, extremo que en el instrumento agregado no se cumple, lo que hace procedente el rechazo impetrado en la instancia de origen.</w:t>
      </w:r>
    </w:p>
    <w:p>
      <w:pPr>
        <w:pStyle w:val="[Normal]"/>
        <w:spacing w:line="360" w:lineRule="auto"/>
        <w:ind w:firstLine="1134"/>
        <w:jc w:val="both"/>
        <w:rPr>
          <w:lang w:val="es-AR" w:eastAsia="es-AR" w:bidi="es-AR"/>
        </w:rPr>
      </w:pPr>
      <w:r>
        <w:rPr>
          <w:lang w:val="es-AR" w:eastAsia="es-AR" w:bidi="es-AR"/>
        </w:rPr>
        <w:t xml:space="preserve">En virtud de lo hasta aquí dicho, es que propongo al acuerdo de mi colega preopinante, la confirmación de la providencia atacada, sin costas por no existir contradicción y en atención de la naturaleza del proceso.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vota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w:t>
      </w:r>
      <w:r>
        <w:rPr>
          <w:color w:val="0000FF"/>
          <w:lang w:val="es-AR" w:eastAsia="es-AR" w:bidi="es-AR"/>
        </w:rPr>
        <w:t xml:space="preserve"> </w:t>
      </w:r>
      <w:r>
        <w:rPr>
          <w:lang w:val="es-AR" w:eastAsia="es-AR" w:bidi="es-AR"/>
        </w:rPr>
        <w:t xml:space="preserve">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subsidiariamente y en consecuencia confirmar el decisorio apelado.</w:t>
      </w:r>
    </w:p>
    <w:p>
      <w:pPr>
        <w:pStyle w:val="[Normal]"/>
        <w:spacing w:line="360" w:lineRule="auto"/>
        <w:ind w:firstLine="1134"/>
        <w:jc w:val="both"/>
        <w:rPr>
          <w:color w:val="000000"/>
          <w:lang w:val="es-AR" w:eastAsia="es-AR" w:bidi="es-AR"/>
        </w:rPr>
      </w:pPr>
      <w:r>
        <w:rPr>
          <w:lang w:val="es-AR" w:eastAsia="es-AR" w:bidi="es-AR"/>
        </w:rPr>
        <w:t xml:space="preserve">Sin costas por no mediar contradicción (arts. 68 2°parte del CPCC).</w:t>
      </w:r>
    </w:p>
    <w:p>
      <w:pPr>
        <w:pStyle w:val="[Normal]"/>
        <w:spacing w:line="360" w:lineRule="auto"/>
        <w:ind w:firstLine="1134"/>
        <w:jc w:val="both"/>
        <w:rPr>
          <w:b/>
          <w:lang w:val="es-AR" w:eastAsia="es-AR" w:bidi="es-AR"/>
        </w:rPr>
      </w:pPr>
      <w:r>
        <w:rPr>
          <w:b/>
          <w:lang w:val="es-AR" w:eastAsia="es-AR" w:bidi="es-AR"/>
        </w:rPr>
        <w:t xml:space="preserve">ASI LO VOTO.</w:t>
      </w:r>
    </w:p>
    <w:p>
      <w:pPr>
        <w:pStyle w:val="[Normal]"/>
        <w:spacing w:line="360" w:lineRule="auto"/>
        <w:ind w:firstLine="1134"/>
        <w:jc w:val="both"/>
        <w:rPr>
          <w:lang w:val="es-AR" w:eastAsia="es-AR" w:bidi="es-AR"/>
        </w:rPr>
      </w:pPr>
      <w:r>
        <w:rPr>
          <w:lang w:val="es-AR" w:eastAsia="es-AR" w:bidi="es-AR"/>
        </w:rPr>
        <w:t xml:space="preserve">A la misma cuestión el señor Juez Roberto Degleue</w:t>
      </w:r>
      <w:r>
        <w:rPr>
          <w:color w:val="0000FF"/>
          <w:lang w:val="es-AR" w:eastAsia="es-AR" w:bidi="es-AR"/>
        </w:rPr>
        <w:t xml:space="preserve"> </w:t>
      </w:r>
      <w:r>
        <w:rPr>
          <w:lang w:val="es-AR" w:eastAsia="es-AR" w:bidi="es-AR"/>
        </w:rPr>
        <w:t xml:space="preserve">por análogos fundamentos vota en el mismo sentido. </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subsidiariamente y en consecuencia confirmar el decisorio apelado.</w:t>
      </w:r>
    </w:p>
    <w:p>
      <w:pPr>
        <w:pStyle w:val="[Normal]"/>
        <w:spacing w:line="360" w:lineRule="auto"/>
        <w:ind w:firstLine="1134"/>
        <w:jc w:val="both"/>
        <w:rPr>
          <w:lang w:val="es-AR" w:eastAsia="es-AR" w:bidi="es-AR"/>
        </w:rPr>
      </w:pPr>
      <w:r>
        <w:rPr>
          <w:lang w:val="es-AR" w:eastAsia="es-AR" w:bidi="es-AR"/>
        </w:rPr>
        <w:t xml:space="preserve">Sin costas por no mediar contradicción (arts. 68 2°parte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23344116989@NOTIFICACIONES.SCBA.GOV.AR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10:20:32 -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11:02:21 -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11:50:19 -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‰9F")è&amp;ew`rŠ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253802090006698764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18/11/2025 11:50:31 hs. bajo el número RS-164-2025 por PE\melustondo.</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