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ind w:firstLine="1134"/>
        <w:jc w:val="both"/>
        <w:rPr>
          <w:lang w:val="es-AR" w:eastAsia="es-AR" w:bidi="es-AR"/>
        </w:rPr>
      </w:pPr>
      <w:r>
        <w:rPr>
          <w:lang w:val="es-AR" w:eastAsia="es-AR" w:bidi="es-AR"/>
        </w:rPr>
        <w:t xml:space="preserve"> En la ciudad de Pergamino, reunidos en Acuerdo Ordinario los Sres. Jueces de la Excma. Cámara de Apelación en lo Civil y Comercial del Departamento Judicial Pergamino, para dictar sentencia en la causa N° </w:t>
      </w:r>
      <w:r>
        <w:rPr>
          <w:color w:val="000000"/>
          <w:lang w:val="es-AR" w:eastAsia="es-AR" w:bidi="es-AR"/>
        </w:rPr>
        <w:t xml:space="preserve">5787-25</w:t>
      </w:r>
      <w:r>
        <w:rPr>
          <w:lang w:val="es-AR" w:eastAsia="es-AR" w:bidi="es-AR"/>
        </w:rPr>
        <w:t xml:space="preserve"> caratulada </w:t>
      </w:r>
      <w:r>
        <w:rPr>
          <w:b/>
          <w:lang w:val="es-AR" w:eastAsia="es-AR" w:bidi="es-AR"/>
        </w:rPr>
        <w:t xml:space="preserve">"</w:t>
      </w:r>
      <w:r>
        <w:rPr>
          <w:b/>
          <w:color w:val="000000"/>
          <w:lang w:val="es-AR" w:eastAsia="es-AR" w:bidi="es-AR"/>
        </w:rPr>
        <w:t xml:space="preserve">TIRIMACO MARIA AGUSTINA C/ BALLIANTI MARIA VIRGINIA Y OTROS S/ DAÑOS Y PERJ.AUTOM. C/LES. O MUERTE (EXC.ESTADO)</w:t>
      </w:r>
      <w:r>
        <w:rPr>
          <w:b/>
          <w:lang w:val="es-AR" w:eastAsia="es-AR" w:bidi="es-AR"/>
        </w:rPr>
        <w:t xml:space="preserve">"</w:t>
      </w:r>
      <w:r>
        <w:rPr>
          <w:lang w:val="es-AR" w:eastAsia="es-AR" w:bidi="es-AR"/>
        </w:rPr>
        <w:t xml:space="preserve">, Expte.</w:t>
      </w:r>
      <w:r>
        <w:rPr>
          <w:rFonts w:ascii="Calibri" w:hAnsi="Calibri" w:eastAsia="Calibri" w:cs="Calibri"/>
          <w:sz w:val="28"/>
          <w:lang w:val="es-AR" w:eastAsia="es-AR" w:bidi="es-AR"/>
        </w:rPr>
        <w:t xml:space="preserve">66.905</w:t>
      </w:r>
      <w:r>
        <w:rPr>
          <w:color w:val="000000"/>
          <w:lang w:val="es-AR" w:eastAsia="es-AR" w:bidi="es-AR"/>
        </w:rPr>
        <w:t xml:space="preserve"> </w:t>
      </w:r>
      <w:r>
        <w:rPr>
          <w:lang w:val="es-AR" w:eastAsia="es-AR" w:bidi="es-AR"/>
        </w:rPr>
        <w:t xml:space="preserve">del Juzgado en lo Civil y Comercial n° 3, se practicó el sorteo de ley que determinó que la votación debía efectuarse en el siguiente orden: Graciela Scaraffia y Roberto Degleue, y estudiados los autos se resolvió plantear y votar las siguientes: </w:t>
      </w:r>
    </w:p>
    <w:p>
      <w:pPr>
        <w:pStyle w:val="[Normal]"/>
        <w:spacing w:line="360" w:lineRule="auto"/>
        <w:ind w:firstLine="1134"/>
        <w:jc w:val="both"/>
        <w:rPr>
          <w:lang w:val="es-AR" w:eastAsia="es-AR" w:bidi="es-AR"/>
        </w:rPr>
      </w:pPr>
      <w:r>
        <w:rPr>
          <w:b/>
          <w:lang w:val="es-AR" w:eastAsia="es-AR" w:bidi="es-AR"/>
        </w:rPr>
        <w:t xml:space="preserve">C U E S T I O N E S</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la señora Jueza Graciela Scaraffia dijo:</w:t>
      </w:r>
    </w:p>
    <w:p>
      <w:pPr>
        <w:pStyle w:val="[Normal]"/>
        <w:spacing w:line="360" w:lineRule="auto"/>
        <w:ind w:firstLine="1134"/>
        <w:jc w:val="both"/>
        <w:rPr>
          <w:lang w:val="es-AR" w:eastAsia="es-AR" w:bidi="es-AR"/>
        </w:rPr>
      </w:pPr>
      <w:r>
        <w:rPr>
          <w:lang w:val="es-AR" w:eastAsia="es-AR" w:bidi="es-AR"/>
        </w:rPr>
        <w:t xml:space="preserve">El Sr. Juez de la anterior instancia hizo lugar a la demanda instaurada por María Agustina Tirimacco, condenando en consecuencia a </w:t>
      </w:r>
      <w:r>
        <w:rPr>
          <w:color w:val="000000"/>
          <w:lang w:val="es-AR" w:eastAsia="es-AR" w:bidi="es-AR"/>
        </w:rPr>
        <w:t xml:space="preserve">Mariani Francisco y Ballanti María Virginia y</w:t>
      </w:r>
      <w:r>
        <w:rPr>
          <w:lang w:val="es-AR" w:eastAsia="es-AR" w:bidi="es-AR"/>
        </w:rPr>
        <w:t xml:space="preserve"> a </w:t>
      </w:r>
      <w:r>
        <w:rPr>
          <w:color w:val="000000"/>
          <w:lang w:val="es-AR" w:eastAsia="es-AR" w:bidi="es-AR"/>
        </w:rPr>
        <w:t xml:space="preserve">Coop. Mutual Patronal Sociedad Mutual de Seguros Generales</w:t>
      </w:r>
      <w:r>
        <w:rPr>
          <w:lang w:val="es-AR" w:eastAsia="es-AR" w:bidi="es-AR"/>
        </w:rPr>
        <w:t xml:space="preserve"> -esta última dentro de los límites del contrato de seguro-, a abonar a la primero, la suma de cinco millones cuatrocientos sesenta y nueve mil trescientos veintisiete con 19/100 ctvos. ($ 5.469.327.19.) dentro de los diez días de notificada la presente-, con más sus intereses, los que habrán calcularse en la forma dispuesta en el considerando VI. Aplicó las costas a la parte demandada y a la citada en garantía, que resultan vencidas (Art. 68 C.P.C.). Rechazó la demanda entablada por María Agustina Tirimacco contra Tobias Gallardo y Perseverancia Seguros</w:t>
      </w:r>
      <w:r>
        <w:rPr>
          <w:color w:val="000000"/>
          <w:lang w:val="es-AR" w:eastAsia="es-AR" w:bidi="es-AR"/>
        </w:rPr>
        <w:t xml:space="preserve"> S.A.</w:t>
      </w:r>
      <w:r>
        <w:rPr>
          <w:lang w:val="es-AR" w:eastAsia="es-AR" w:bidi="es-AR"/>
        </w:rPr>
        <w:t xml:space="preserve"> con costas a cargo de la actora perdidosa. (Art. 68 del C.P.C.). Difirió la regulación de honorarios de  los  letrados intervinientes  y  de  los  peritos,  hasta  que  medie  firme  la respectiva liquidación de intereses y gastos (Art. 51 ley 14.967).</w:t>
      </w:r>
    </w:p>
    <w:p>
      <w:pPr>
        <w:pStyle w:val="[Normal]"/>
        <w:spacing w:line="360" w:lineRule="auto"/>
        <w:ind w:firstLine="1134"/>
        <w:jc w:val="both"/>
        <w:rPr>
          <w:lang w:val="es-AR" w:eastAsia="es-AR" w:bidi="es-AR"/>
        </w:rPr>
      </w:pPr>
      <w:r>
        <w:rPr>
          <w:lang w:val="es-AR" w:eastAsia="es-AR" w:bidi="es-AR"/>
        </w:rPr>
        <w:t xml:space="preserve">Tal decisorio, fue objeto de los recursos de apelación interpuestos por la parte actora (5-8-2025) y por la demandada Francisco Mariani, María Virginia Ballanti  y la citada en garantía Cooperación Mutual Patronal S.M.S.G. (7-8-2025), concedidos libremente y en ambos efectos el 7 y 11-8-2025 respectivamente.  Elevados los autos a esta Alzada con fecha 26-8-2025 se ordeno expresar agravios a la parte actora, quien el 2-9-2025 los fundo.   4-9-2025 se ordeno expresar agravios a la parte demandada Francisco Mariani, María Virginia Ballanti y la citada en garantía Cooperación Mutual Patronal S.M.S.G., quien el 12-9-2025 los fundo.  26-9-2025 traslados de lo expuesto por la parte actora, traslado a los demandados  y a las citadas en garantía. Y del escrito presentado en fecha 12/9/2025, traslado a la accionante.  2-10-2025 No habiendo los restantes demandados y la aseguradora Cooperación Mutual Patronal S.M.S.G., contestado el que les fuera conferido oportunamente, se les dió por perdido el derecho dejado de usar y se llamo autos para dictar sentencia, providencia, que firme a la fecha deja la causa en condiciones de ser fallada.</w:t>
      </w:r>
    </w:p>
    <w:p>
      <w:pPr>
        <w:pStyle w:val="[Normal]"/>
        <w:spacing w:line="360" w:lineRule="auto"/>
        <w:ind w:firstLine="1134"/>
        <w:jc w:val="both"/>
        <w:rPr>
          <w:lang w:val="es-AR" w:eastAsia="es-AR" w:bidi="es-AR"/>
        </w:rPr>
      </w:pPr>
      <w:r>
        <w:rPr>
          <w:lang w:val="es-AR" w:eastAsia="es-AR" w:bidi="es-AR"/>
        </w:rPr>
        <w:t xml:space="preserve">En sustento de su crítica recursiva, la parte actora expresa los siguientes puntos : </w:t>
      </w:r>
    </w:p>
    <w:p>
      <w:pPr>
        <w:pStyle w:val="[Normal]"/>
        <w:spacing w:line="360" w:lineRule="auto"/>
        <w:ind w:firstLine="1134"/>
        <w:jc w:val="both"/>
        <w:rPr>
          <w:lang w:val="es-AR" w:eastAsia="es-AR" w:bidi="es-AR"/>
        </w:rPr>
      </w:pPr>
      <w:r>
        <w:rPr>
          <w:lang w:val="es-AR" w:eastAsia="es-AR" w:bidi="es-AR"/>
        </w:rPr>
        <w:t xml:space="preserve">1) Se agravia por el rechazo de la demanda respecto de Tobías Gallardo y La Perseverancia Seguros S.A., señalando que el juez de primera instancia eximió indebidamente de responsabilidad al conductor de la motocicleta donde viajaba la víctima. Sostiene que el caso encuadra en la doctrina del riesgo creado (art. 1113, Cód. Civil), que impone una responsabilidad objetiva al guardián de la cosa riesgosa, incluso en los supuestos de transporte benévolo. Aduce que Gallardo y su aseguradora deben responder concurrentemente con Mariani Ballanti y su aseguradora.</w:t>
      </w:r>
    </w:p>
    <w:p>
      <w:pPr>
        <w:pStyle w:val="[Normal]"/>
        <w:spacing w:line="360" w:lineRule="auto"/>
        <w:ind w:firstLine="1134"/>
        <w:jc w:val="both"/>
        <w:rPr>
          <w:lang w:val="es-AR" w:eastAsia="es-AR" w:bidi="es-AR"/>
        </w:rPr>
      </w:pPr>
    </w:p>
    <w:p>
      <w:pPr>
        <w:pStyle w:val="[Normal]"/>
        <w:spacing w:line="360" w:lineRule="auto"/>
        <w:ind w:firstLine="1134"/>
        <w:jc w:val="both"/>
        <w:rPr>
          <w:lang w:val="es-AR" w:eastAsia="es-AR" w:bidi="es-AR"/>
        </w:rPr>
      </w:pPr>
      <w:r>
        <w:rPr>
          <w:lang w:val="es-AR" w:eastAsia="es-AR" w:bidi="es-AR"/>
        </w:rPr>
        <w:t xml:space="preserve">2) Cuestiona que el juez haya considerado que la falta de casco incidió en un 100% en las lesiones de cabeza y rostro, eliminando así toda indemnización por tales secuelas. Argumenta que esa conclusión es conjetural, no surge de la pericia médica -la cual solo indica que el uso del casco podría haber atenuado las lesiones- y que no puede afirmarse con certeza que las lesiones no se habrían producido. Postula que la incidencia de la falta de casco debe apreciarse como factor de reducción del daño, pero no como eximente total, proponiendo una reducción del 50%.</w:t>
      </w:r>
    </w:p>
    <w:p>
      <w:pPr>
        <w:pStyle w:val="[Normal]"/>
        <w:spacing w:line="360" w:lineRule="auto"/>
        <w:ind w:firstLine="1134"/>
        <w:jc w:val="both"/>
        <w:rPr>
          <w:lang w:val="es-AR" w:eastAsia="es-AR" w:bidi="es-AR"/>
        </w:rPr>
      </w:pPr>
      <w:r>
        <w:rPr>
          <w:lang w:val="es-AR" w:eastAsia="es-AR" w:bidi="es-AR"/>
        </w:rPr>
        <w:t xml:space="preserve">3) Objeta que se haya limitado la condena de la aseguradora a los topes de la póliza, pese a haber impugnado expresamente dicha limitación. Aduce que el límite de cobertura debe actualizarse para no tornar irrisoria la obligación indemnizatoria ni afectar el principio de reparación plena. Invoca jurisprudencia de la Suprema Corte bonaerense (causa “Martínez, Emir c/ Boito, Alfredo”, Ac. 119088, 21/02/2018) para sostener que la cobertura debe adecuarse a los valores vigentes al momento de la sentencia, pues lo contrario implica una cláusula abusiva, inconstitucional e inoponible al tercero damnificado.</w:t>
      </w:r>
    </w:p>
    <w:p>
      <w:pPr>
        <w:pStyle w:val="[Normal]"/>
        <w:spacing w:line="360" w:lineRule="auto"/>
        <w:ind w:firstLine="1134"/>
        <w:jc w:val="both"/>
        <w:rPr>
          <w:lang w:val="es-AR" w:eastAsia="es-AR" w:bidi="es-AR"/>
        </w:rPr>
      </w:pPr>
      <w:r>
        <w:rPr>
          <w:lang w:val="es-AR" w:eastAsia="es-AR" w:bidi="es-AR"/>
        </w:rPr>
        <w:t xml:space="preserve">4) Se queja del monto reconocido en concepto de incapacidad sobreviniente, alegando que el juez de primera instancia efectuó una valoración restrictiva y desproporcionada al reducir la incapacidad resarcible al 4%, excluyendo el 15% atribuido por el perito a las cicatrices en rostro y cuero cabelludo. Sostiene que dicha exclusión es arbitraria, pues esas lesiones integran la secuela física y estética derivada del accidente, y su supresión desconoce el principio de reparación plena (art. 1740 CCyC). Afirma que el magistrado soslayó la pericia médica, que estableció una incapacidad del 18,4% sin desagregar las causas, y aplicó indebidamente la doctrina de la concausa al considerar el no uso de casco como eximente total de las lesiones en cabeza y rostro.</w:t>
      </w:r>
    </w:p>
    <w:p>
      <w:pPr>
        <w:pStyle w:val="[Normal]"/>
        <w:spacing w:line="360" w:lineRule="auto"/>
        <w:ind w:firstLine="1134"/>
        <w:jc w:val="both"/>
        <w:rPr>
          <w:lang w:val="es-AR" w:eastAsia="es-AR" w:bidi="es-AR"/>
        </w:rPr>
      </w:pPr>
      <w:r>
        <w:rPr>
          <w:lang w:val="es-AR" w:eastAsia="es-AR" w:bidi="es-AR"/>
        </w:rPr>
        <w:t xml:space="preserve">5) Se disconforma del monto otorgado por daño moral y daño psíquico, aduciendo que el sentenciante no ponderó la entidad de las lesiones, la edad de la víctima (16 años al momento del hecho) ni las consecuencias emocionales y sociales del accidente. Indica que el daño moral fijado resulta notoriamente exiguo frente al sufrimiento físico, la afección estética permanente y la alteración en la vida cotidiana.</w:t>
      </w:r>
    </w:p>
    <w:p>
      <w:pPr>
        <w:pStyle w:val="[Normal]"/>
        <w:spacing w:line="360" w:lineRule="auto"/>
        <w:ind w:firstLine="1134"/>
        <w:jc w:val="both"/>
        <w:rPr>
          <w:lang w:val="es-AR" w:eastAsia="es-AR" w:bidi="es-AR"/>
        </w:rPr>
      </w:pPr>
      <w:r>
        <w:rPr>
          <w:lang w:val="es-AR" w:eastAsia="es-AR" w:bidi="es-AR"/>
        </w:rPr>
        <w:t xml:space="preserve">Por su parte, la citada en garantía Cooperación Mutual Patronal y sus asegurados Francisco Mariani y María Virginia Ballanti sustentan su apelación en el agravio que les provoca el monto reconocido por el juez en concepto de gastos médicos, farmacéuticos y de transporte. En tal sentido, consideran irrazonable la suma de $400.000 otorgada por este rubro, alegando que no existe el mínimo respaldo documental que justifique tal monto y que el juez vulneró la regla de la carga probatoria al presumir gastos no acreditados. Y sostienen que solo deben presumirse los gastos menores y urgentes, pero no aquellos de entidad relevante, que deben probarse mediante tickets, facturas o recibos, conforme los arts. 384 del CPCC y 1739 y 1746 del CCyC. </w:t>
      </w:r>
    </w:p>
    <w:p>
      <w:pPr>
        <w:pStyle w:val="[Normal]"/>
        <w:spacing w:line="360" w:lineRule="auto"/>
        <w:ind w:firstLine="1134"/>
        <w:jc w:val="both"/>
        <w:rPr>
          <w:lang w:val="es-AR" w:eastAsia="es-AR" w:bidi="es-AR"/>
        </w:rPr>
      </w:pPr>
      <w:r>
        <w:rPr>
          <w:lang w:val="es-AR" w:eastAsia="es-AR" w:bidi="es-AR"/>
        </w:rPr>
        <w:t xml:space="preserve">A su turno, la actora, al contestar los agravios de la demandada, sostiene que la suma de $400.000 reconocida por gastos médicos, farmacéuticos y de transporte es incluso baja, ya que dichos gastos fueron acreditados en autos mediante facturas, recibos y tickets. Detalla la documentación aportada por honorarios médicos, estudios, medicamentos y traslados, destacando además los numerosos viajes realizados desde Colón para atenderse. Señala que el monto fijado no refleja la totalidad de las erogaciones efectuadas ni los costos derivados del tratamiento. Por ello, solicita desestimar los agravios y elevar el rubro a $800.000 conforme a la prueba producida.</w:t>
      </w:r>
    </w:p>
    <w:p>
      <w:pPr>
        <w:pStyle w:val="[Normal]"/>
        <w:spacing w:line="360" w:lineRule="auto"/>
        <w:ind w:firstLine="1134"/>
        <w:jc w:val="both"/>
        <w:rPr>
          <w:lang w:val="es-AR" w:eastAsia="es-AR" w:bidi="es-AR"/>
        </w:rPr>
      </w:pPr>
      <w:r>
        <w:rPr>
          <w:lang w:val="es-AR" w:eastAsia="es-AR" w:bidi="es-AR"/>
        </w:rPr>
        <w:t xml:space="preserve">Finalmente, la aseguradora (La Perseverancia Seguros S.A.) solicita la confirmación íntegra de la sentencia y el rechazo del recurso de la parte actora. Sostiene que los agravios no refutan la ratio del fallo que atribuyó la causalidad exclusiva al conductor del Ford Fiesta, apoyada en la pericia mecánica y en la falta de prueba de una maniobra antirreglamentaria de la motocicleta. Afirma que la apelante se limita a una disconformidad genérica, sin demostrar error de hecho o de derecho en la valoración probatoria. Agrega que el eventual consumo de alcohol del motociclista -aunque reprochable- no tuvo incidencia causal en el siniestro, según el análisis de grado. Pide, en consecuencia, el rechazo del recurso con costas.</w:t>
      </w:r>
    </w:p>
    <w:p>
      <w:pPr>
        <w:pStyle w:val="[Normal]"/>
        <w:spacing w:line="360" w:lineRule="auto"/>
        <w:ind w:firstLine="1134"/>
        <w:jc w:val="both"/>
        <w:rPr>
          <w:lang w:val="es-AR" w:eastAsia="es-AR" w:bidi="es-AR"/>
        </w:rPr>
      </w:pPr>
      <w:r>
        <w:rPr>
          <w:lang w:val="es-AR" w:eastAsia="es-AR" w:bidi="es-AR"/>
        </w:rPr>
        <w:t xml:space="preserve">Entrando a resolver, la cuestión sometida a revisión es susceptible de descomponerse en cuatro dimensiones fundamentales: 1) juridicidad de la absolución del codemandado Tobías Gallardo, 2) Incidencia causal de la falta de casco en la extensión del daño resarcible, 3) Determinación del criterio de aplicabilidad del límite máximo de cobertura, 4) Suficiencia o no de los montos indemnizatorios en materia de daño por incapacidad, daño moral y gastos médicos.</w:t>
      </w:r>
    </w:p>
    <w:p>
      <w:pPr>
        <w:pStyle w:val="[Normal]"/>
        <w:spacing w:line="360" w:lineRule="auto"/>
        <w:ind w:firstLine="1134"/>
        <w:jc w:val="both"/>
        <w:rPr>
          <w:lang w:val="es-AR" w:eastAsia="es-AR" w:bidi="es-AR"/>
        </w:rPr>
      </w:pPr>
      <w:r>
        <w:rPr>
          <w:lang w:val="es-AR" w:eastAsia="es-AR" w:bidi="es-AR"/>
        </w:rPr>
        <w:t xml:space="preserve">En orden al abordaje de la tarea, asumiré una metodología sucesiva que comenzará con el tratamiento de los agravios de la parte actora y luego avanzaré con el análisis de los puntos de crítica vertidos por la citada en garantía.</w:t>
      </w:r>
    </w:p>
    <w:p>
      <w:pPr>
        <w:pStyle w:val="[Normal]"/>
        <w:spacing w:line="360" w:lineRule="auto"/>
        <w:ind w:firstLine="1134"/>
        <w:jc w:val="both"/>
        <w:rPr>
          <w:lang w:val="es-AR" w:eastAsia="es-AR" w:bidi="es-AR"/>
        </w:rPr>
      </w:pPr>
      <w:r>
        <w:rPr>
          <w:lang w:val="es-AR" w:eastAsia="es-AR" w:bidi="es-AR"/>
        </w:rPr>
        <w:t xml:space="preserve">I.- Impuesto entonces en tal faena, habré de principiar por el primer agravio relativo a la exoneración del Sr. Tobías Gallardo como responsable por el evento dañoso que ha motivado el reclama resarcitorio de autos.</w:t>
      </w:r>
    </w:p>
    <w:p>
      <w:pPr>
        <w:pStyle w:val="[Normal]"/>
        <w:spacing w:line="360" w:lineRule="auto"/>
        <w:ind w:firstLine="1134"/>
        <w:jc w:val="both"/>
        <w:rPr>
          <w:lang w:val="es-AR" w:eastAsia="es-AR" w:bidi="es-AR"/>
        </w:rPr>
      </w:pPr>
      <w:r>
        <w:rPr>
          <w:lang w:val="es-AR" w:eastAsia="es-AR" w:bidi="es-AR"/>
        </w:rPr>
        <w:t xml:space="preserve">De las constancias de la causa surge acreditado, con apoyo en la pericia mecánica no impugnada -ver informe pericial mecánico de fecha 13/03/2025 producido por el perito Ig. Javier Ferreti-, que la motocicleta conducida por Gallardo circulaba por delante y a la derecha del Ford Fiesta guiado por Mariani, y que el automóvil impactó desde atrás con su sector frontolateral y luego con el lateral delantero derecho, arrojando la moto hacia la banquina; no se probó que la motocicleta hubiera irrumpido desde el préstamo ni que ejecutara una maniobra sorpresiva que la convirtiera en obstáculo imprevisible en la línea de marcha del automóvil</w:t>
      </w:r>
    </w:p>
    <w:p>
      <w:pPr>
        <w:pStyle w:val="[Normal]"/>
        <w:spacing w:line="360" w:lineRule="auto"/>
        <w:ind w:firstLine="1134"/>
        <w:jc w:val="both"/>
        <w:rPr>
          <w:lang w:val="es-AR" w:eastAsia="es-AR" w:bidi="es-AR"/>
        </w:rPr>
      </w:pPr>
      <w:r>
        <w:rPr>
          <w:lang w:val="es-AR" w:eastAsia="es-AR" w:bidi="es-AR"/>
        </w:rPr>
        <w:t xml:space="preserve"> Tal reconstrucción fáctica -apoyada además en que las partes coincidieron en las circunstancias de tiempo y lugar (art. 354 inc. 1 CPCCBA)- cumple los extremos causales exigidos por el régimen objetivo (daño, relación causal con cosa riesgosa, riesgo/vicio de la cosa y calidad de guardián), a la vez que delimita el nexo en cabeza del conductor del automóvil</w:t>
      </w:r>
    </w:p>
    <w:p>
      <w:pPr>
        <w:pStyle w:val="[Normal]"/>
        <w:spacing w:line="360" w:lineRule="auto"/>
        <w:ind w:firstLine="1134"/>
        <w:jc w:val="both"/>
        <w:rPr>
          <w:lang w:val="es-AR" w:eastAsia="es-AR" w:bidi="es-AR"/>
        </w:rPr>
      </w:pPr>
      <w:r>
        <w:rPr>
          <w:lang w:val="es-AR" w:eastAsia="es-AR" w:bidi="es-AR"/>
        </w:rPr>
        <w:t xml:space="preserve">La sentencia de grado ponderó expresamente que no se acreditó la </w:t>
      </w:r>
      <w:r>
        <w:rPr>
          <w:i/>
          <w:lang w:val="es-AR" w:eastAsia="es-AR" w:bidi="es-AR"/>
        </w:rPr>
        <w:t xml:space="preserve">“excesiva velocidad”</w:t>
      </w:r>
      <w:r>
        <w:rPr>
          <w:lang w:val="es-AR" w:eastAsia="es-AR" w:bidi="es-AR"/>
        </w:rPr>
        <w:t xml:space="preserve"> del Ford (art. 375 CPCCBA), pues el experto informó carecer de elementos técnicos para determinarla. Sin embargo, tuvo por demostrada la conducción sin cuidado ni prevención de Mariani -falta de advertencia de la moto y ausencia de frenado-, lo cual encuadra como factor causal suficiente y excluyente del resultado dañoso</w:t>
      </w:r>
    </w:p>
    <w:p>
      <w:pPr>
        <w:pStyle w:val="[Normal]"/>
        <w:spacing w:line="360" w:lineRule="auto"/>
        <w:ind w:firstLine="1134"/>
        <w:jc w:val="both"/>
        <w:rPr>
          <w:lang w:val="es-AR" w:eastAsia="es-AR" w:bidi="es-AR"/>
        </w:rPr>
      </w:pPr>
      <w:r>
        <w:rPr>
          <w:lang w:val="es-AR" w:eastAsia="es-AR" w:bidi="es-AR"/>
        </w:rPr>
        <w:t xml:space="preserve">En ese marco, la hipótesis defensiva que atribuía a Gallardo una maniobra imprevista de ascenso desde la banquina fue descartada por falta de prueba idónea (arts. 1722 y 1726 CCyC, en cuanto a la carga y eficacia de la </w:t>
      </w:r>
      <w:r>
        <w:rPr>
          <w:i/>
          <w:lang w:val="es-AR" w:eastAsia="es-AR" w:bidi="es-AR"/>
        </w:rPr>
        <w:t xml:space="preserve">“causa ajena”</w:t>
      </w:r>
      <w:r>
        <w:rPr>
          <w:lang w:val="es-AR" w:eastAsia="es-AR" w:bidi="es-AR"/>
        </w:rPr>
        <w:t xml:space="preserve"> invocada por quien pretende exonerarse.</w:t>
      </w:r>
    </w:p>
    <w:p>
      <w:pPr>
        <w:pStyle w:val="[Normal]"/>
        <w:spacing w:line="360" w:lineRule="auto"/>
        <w:ind w:firstLine="1134"/>
        <w:jc w:val="both"/>
        <w:rPr>
          <w:lang w:val="es-AR" w:eastAsia="es-AR" w:bidi="es-AR"/>
        </w:rPr>
      </w:pPr>
      <w:r>
        <w:rPr>
          <w:lang w:val="es-AR" w:eastAsia="es-AR" w:bidi="es-AR"/>
        </w:rPr>
        <w:t xml:space="preserve">En cuanto al dato objetivo del consumo de alcohol y marihuana por parte del motociclista -acreditado en sede penal y en historia clínica-, el a quo fue explícito: se trata de una infracción grave a la normativa de tránsito, pero carente de incidencia causal en el siniestro dado el carácter pasivo de la participación del conductor de la moto frente al embiste posterior del automóvil. La valoración separa con corrección el juicio de reproche punitivo del análisis causal civil y niega relevancia exoneratoria a un antecedente que no explica la producción del daño (arts. 1722 y 1729 CCyC)</w:t>
      </w:r>
    </w:p>
    <w:p>
      <w:pPr>
        <w:pStyle w:val="[Normal]"/>
        <w:spacing w:line="360" w:lineRule="auto"/>
        <w:ind w:firstLine="1134"/>
        <w:jc w:val="both"/>
        <w:rPr>
          <w:lang w:val="es-AR" w:eastAsia="es-AR" w:bidi="es-AR"/>
        </w:rPr>
      </w:pPr>
      <w:r>
        <w:rPr>
          <w:lang w:val="es-AR" w:eastAsia="es-AR" w:bidi="es-AR"/>
        </w:rPr>
        <w:t xml:space="preserve">La actora intenta revertir la exclusión apoyándose en la doctrina del riesgo creado y en el encuadre del </w:t>
      </w:r>
      <w:r>
        <w:rPr>
          <w:i/>
          <w:lang w:val="es-AR" w:eastAsia="es-AR" w:bidi="es-AR"/>
        </w:rPr>
        <w:t xml:space="preserve">“transporte benévolo”</w:t>
      </w:r>
      <w:r>
        <w:rPr>
          <w:lang w:val="es-AR" w:eastAsia="es-AR" w:bidi="es-AR"/>
        </w:rPr>
        <w:t xml:space="preserve"> del tercero transportado. Con todo, su memorial no controvierte los pilares fácticos asentados (mecánica del impacto desde atrás, pasividad de la moto, ausencia de maniobra antirreglamentaria) ni señala vicios técnicos de la pericia; se limita a postular, en abstracto, que el guardián de la cosa riesgosa responde objetivamente. Sin embargo, es sabido que ello no obsta a la ruptura del nexo cuando media causa ajena exclusiva (arts. 1757 y 1722 CCyC). Al respecto, la propia contestación de La Perseverancia subraya que los agravios prescinden de refutar la ratio decidendi y se reducen a disconformidades genéricas carentes de sustento probatorio.</w:t>
      </w:r>
    </w:p>
    <w:p>
      <w:pPr>
        <w:pStyle w:val="[Normal]"/>
        <w:spacing w:line="360" w:lineRule="auto"/>
        <w:ind w:firstLine="1134"/>
        <w:jc w:val="both"/>
        <w:rPr>
          <w:lang w:val="es-AR" w:eastAsia="es-AR" w:bidi="es-AR"/>
        </w:rPr>
      </w:pPr>
      <w:r>
        <w:rPr>
          <w:lang w:val="es-AR" w:eastAsia="es-AR" w:bidi="es-AR"/>
        </w:rPr>
        <w:t xml:space="preserve">Desde la dogmática aplicable, la responsabilidad por el riesgo de la cosa (art. 1757 CCyC, en consonancia con el art. 1769) no es absoluta: admite exoneración cuando se acredita la intervención exclusiva de un tercero por quien no se debe responder -causa ajena- que absorbe el curso causal (art. 1722 CCyC). A la luz de los hechos firmes (pericia no objetada, mecánica de impacto posterior, ausencia de maniobra de irrupción de la moto) y de la carga probatoria (art. 375 CPCCBA), la conducta del automovilista constituye causa adecuada y exclusiva del daño, desplazando la imputación a Gallardo.</w:t>
      </w:r>
    </w:p>
    <w:p>
      <w:pPr>
        <w:pStyle w:val="[Normal]"/>
        <w:spacing w:line="360" w:lineRule="auto"/>
        <w:ind w:firstLine="1134"/>
        <w:jc w:val="both"/>
        <w:rPr>
          <w:lang w:val="es-AR" w:eastAsia="es-AR" w:bidi="es-AR"/>
        </w:rPr>
      </w:pPr>
      <w:r>
        <w:rPr>
          <w:lang w:val="es-AR" w:eastAsia="es-AR" w:bidi="es-AR"/>
        </w:rPr>
        <w:t xml:space="preserve">En suma, con sustento en la pericia mecánica, en los hechos no controvertidos y en la correcta aplicación de los arts. 1722, 1726, 1729, 1757 y 1769 del CCyC (y arts. 354 inc. 1 y 375 CPCCBA), corresponde desestimar el agravio, toda vez que la </w:t>
      </w:r>
      <w:r>
        <w:rPr>
          <w:i/>
          <w:lang w:val="es-AR" w:eastAsia="es-AR" w:bidi="es-AR"/>
        </w:rPr>
        <w:t xml:space="preserve">“causa ajena”</w:t>
      </w:r>
      <w:r>
        <w:rPr>
          <w:lang w:val="es-AR" w:eastAsia="es-AR" w:bidi="es-AR"/>
        </w:rPr>
        <w:t xml:space="preserve"> configurada por la conducción negligente de Mariani rompió el nexo de causalidad adecuada respecto del riesgo propio de la motocicleta y mantuvo incólume la exclusión de responsabilidad de Gallardo, no habiendo sido tal conclusión judicial -de naturaleza dirimente en punto a la atribución de responsabilidad del Sr. Tobías- efectivamente controvertida por la parte actora.</w:t>
      </w:r>
    </w:p>
    <w:p>
      <w:pPr>
        <w:pStyle w:val="[Normal]"/>
        <w:spacing w:line="360" w:lineRule="auto"/>
        <w:ind w:firstLine="1134"/>
        <w:jc w:val="both"/>
        <w:rPr>
          <w:lang w:val="es-AR" w:eastAsia="es-AR" w:bidi="es-AR"/>
        </w:rPr>
      </w:pPr>
      <w:r>
        <w:rPr>
          <w:lang w:val="es-AR" w:eastAsia="es-AR" w:bidi="es-AR"/>
        </w:rPr>
        <w:t xml:space="preserve"> II.- Seguidamente, corresponde revisar el agravio atinente al no uso de casco, precisando su incidencia cuantitativa sobre las secuelas craneofaciales. </w:t>
      </w:r>
    </w:p>
    <w:p>
      <w:pPr>
        <w:pStyle w:val="[Normal]"/>
        <w:spacing w:line="360" w:lineRule="auto"/>
        <w:ind w:firstLine="1134"/>
        <w:jc w:val="both"/>
        <w:rPr>
          <w:lang w:val="es-AR" w:eastAsia="es-AR" w:bidi="es-AR"/>
        </w:rPr>
      </w:pPr>
      <w:r>
        <w:rPr>
          <w:lang w:val="es-AR" w:eastAsia="es-AR" w:bidi="es-AR"/>
        </w:rPr>
        <w:t xml:space="preserve">El a quo colocó ese extremo fuera de la etiología del accidente y lo ubicó, con acierto, en el plano del “mayor daño” (cuantificación), sobre la base de que la protección habría “podido evitarse o mitigarse” y, por ello, sustrajo íntegramente las lesiones de cabeza y rostro del cómputo indemnizatorio</w:t>
      </w:r>
    </w:p>
    <w:p>
      <w:pPr>
        <w:pStyle w:val="[Normal]"/>
        <w:spacing w:line="360" w:lineRule="auto"/>
        <w:ind w:firstLine="1134"/>
        <w:jc w:val="both"/>
        <w:rPr>
          <w:lang w:val="es-AR" w:eastAsia="es-AR" w:bidi="es-AR"/>
        </w:rPr>
      </w:pPr>
      <w:r>
        <w:rPr>
          <w:lang w:val="es-AR" w:eastAsia="es-AR" w:bidi="es-AR"/>
        </w:rPr>
        <w:t xml:space="preserve">La actora objeta la exclusión total invocando la pericia médica (ver informe pericial médico suscripto por el Dr. Cosentino que obra presentado electrónicamente el 08/12/2024) que no afirma la eliminación de secuelas por el uso del casco sino una atenuación (“podría haber atenuado las lesiones”), y recordando que el perito fijó una incapacidad del 18,4%, discriminada en 4% por meniscectomía y 15% por cicatrices (10% faciales y 5% en cuero cabelludo)</w:t>
      </w:r>
    </w:p>
    <w:p>
      <w:pPr>
        <w:pStyle w:val="[Normal]"/>
        <w:spacing w:line="360" w:lineRule="auto"/>
        <w:ind w:firstLine="1134"/>
        <w:jc w:val="both"/>
        <w:rPr>
          <w:lang w:val="es-AR" w:eastAsia="es-AR" w:bidi="es-AR"/>
        </w:rPr>
      </w:pPr>
      <w:r>
        <w:rPr>
          <w:lang w:val="es-AR" w:eastAsia="es-AR" w:bidi="es-AR"/>
        </w:rPr>
        <w:t xml:space="preserve">Desde la perspectiva normativa, rigen los arts. 1726 (causalidad adecuada), 1729 (reducción por concausa de la víctima) y 1740 (reparación plena) del CCyC, en armonía con el art. 40 inc. j de la Ley 24.449 (obligación de uso de casco). </w:t>
      </w:r>
    </w:p>
    <w:p>
      <w:pPr>
        <w:pStyle w:val="[Normal]"/>
        <w:spacing w:line="360" w:lineRule="auto"/>
        <w:ind w:firstLine="1134"/>
        <w:jc w:val="both"/>
        <w:rPr>
          <w:lang w:val="es-AR" w:eastAsia="es-AR" w:bidi="es-AR"/>
        </w:rPr>
      </w:pPr>
      <w:r>
        <w:rPr>
          <w:lang w:val="es-AR" w:eastAsia="es-AR" w:bidi="es-AR"/>
        </w:rPr>
        <w:t xml:space="preserve">La solución debe, entonces, ponderar proporcionalmente la infracción reglamentaria -en tanto factor de “mayor daño”- sin neutralizar la reparación de la porción residual que, aun con casco, razonablemente podría subsistir. </w:t>
      </w:r>
    </w:p>
    <w:p>
      <w:pPr>
        <w:pStyle w:val="[Normal]"/>
        <w:spacing w:line="360" w:lineRule="auto"/>
        <w:ind w:firstLine="1134"/>
        <w:jc w:val="both"/>
        <w:rPr>
          <w:lang w:val="es-AR" w:eastAsia="es-AR" w:bidi="es-AR"/>
        </w:rPr>
      </w:pPr>
      <w:r>
        <w:rPr>
          <w:lang w:val="es-AR" w:eastAsia="es-AR" w:bidi="es-AR"/>
        </w:rPr>
        <w:t xml:space="preserve">Adelanto pues que, bajo la óptica señalada, concurren tres vectores que justifican sustituir la exclusión total por una reducción del 80% sobre las secuelas craneofaciales.</w:t>
      </w:r>
    </w:p>
    <w:p>
      <w:pPr>
        <w:pStyle w:val="[Normal]"/>
        <w:spacing w:line="360" w:lineRule="auto"/>
        <w:ind w:firstLine="1134"/>
        <w:jc w:val="both"/>
        <w:rPr>
          <w:lang w:val="es-AR" w:eastAsia="es-AR" w:bidi="es-AR"/>
        </w:rPr>
      </w:pPr>
      <w:r>
        <w:rPr>
          <w:lang w:val="es-AR" w:eastAsia="es-AR" w:bidi="es-AR"/>
        </w:rPr>
        <w:t xml:space="preserve">Primero, el propio dictamen pericial refiere en términos de probabilidad reductora (</w:t>
      </w:r>
      <w:r>
        <w:rPr>
          <w:i/>
          <w:lang w:val="es-AR" w:eastAsia="es-AR" w:bidi="es-AR"/>
        </w:rPr>
        <w:t xml:space="preserve">“podría haber atenuado”</w:t>
      </w:r>
      <w:r>
        <w:rPr>
          <w:lang w:val="es-AR" w:eastAsia="es-AR" w:bidi="es-AR"/>
        </w:rPr>
        <w:t xml:space="preserve">), no de certidumbre supresiva. Ello impide eliminar el 100% del segmento dañoso al no existir base técnica que asegure la inexistencia de cualquier secuela craneofacial si se hubiese usado con casco.</w:t>
      </w:r>
    </w:p>
    <w:p>
      <w:pPr>
        <w:pStyle w:val="[Normal]"/>
        <w:spacing w:line="360" w:lineRule="auto"/>
        <w:ind w:firstLine="1134"/>
        <w:jc w:val="both"/>
        <w:rPr>
          <w:lang w:val="es-AR" w:eastAsia="es-AR" w:bidi="es-AR"/>
        </w:rPr>
      </w:pPr>
      <w:r>
        <w:rPr>
          <w:lang w:val="es-AR" w:eastAsia="es-AR" w:bidi="es-AR"/>
        </w:rPr>
        <w:t xml:space="preserve">Segundo, la naturaleza y localización de las secuelas: el componente </w:t>
      </w:r>
      <w:r>
        <w:rPr>
          <w:i/>
          <w:lang w:val="es-AR" w:eastAsia="es-AR" w:bidi="es-AR"/>
        </w:rPr>
        <w:t xml:space="preserve">“cicatrices en rostro” </w:t>
      </w:r>
      <w:r>
        <w:rPr>
          <w:lang w:val="es-AR" w:eastAsia="es-AR" w:bidi="es-AR"/>
        </w:rPr>
        <w:t xml:space="preserve">(10%) presenta, por definición, una zona de cobertura imperfecta según tipo y ajuste del casco, mientras que las del cuero cabelludo (5%) sí guardan una relación de protección más directa. La experiencia  judicial autoriza, por ende, a asignar una incidencia muy alta, pero no absoluta, sobre el conjunto de la afectación craneofacial (art. 384 del CPCCBA).</w:t>
      </w:r>
    </w:p>
    <w:p>
      <w:pPr>
        <w:pStyle w:val="[Normal]"/>
        <w:spacing w:line="360" w:lineRule="auto"/>
        <w:ind w:firstLine="1134"/>
        <w:jc w:val="both"/>
        <w:rPr>
          <w:lang w:val="es-AR" w:eastAsia="es-AR" w:bidi="es-AR"/>
        </w:rPr>
      </w:pPr>
      <w:r>
        <w:rPr>
          <w:lang w:val="es-AR" w:eastAsia="es-AR" w:bidi="es-AR"/>
        </w:rPr>
        <w:t xml:space="preserve">Tercero, la solución aquí propiciada guarda coherencia con el estándar jurisprudencial asumido por el propio fallo: si lo resarcible debe sustraerse en lo </w:t>
      </w:r>
      <w:r>
        <w:rPr>
          <w:i/>
          <w:lang w:val="es-AR" w:eastAsia="es-AR" w:bidi="es-AR"/>
        </w:rPr>
        <w:t xml:space="preserve">“que habría podido evitarse o mitigarse”</w:t>
      </w:r>
      <w:r>
        <w:rPr>
          <w:lang w:val="es-AR" w:eastAsia="es-AR" w:bidi="es-AR"/>
        </w:rPr>
        <w:t xml:space="preserve">, la respuesta proporcional más prudente -y acorde a los límites del dictamen- es reconocer un remanente indemnizable acotado, no suprimir el rubro íntegro.</w:t>
      </w:r>
    </w:p>
    <w:p>
      <w:pPr>
        <w:pStyle w:val="[Normal]"/>
        <w:spacing w:line="360" w:lineRule="auto"/>
        <w:ind w:firstLine="1134"/>
        <w:jc w:val="both"/>
        <w:rPr>
          <w:lang w:val="es-AR" w:eastAsia="es-AR" w:bidi="es-AR"/>
        </w:rPr>
      </w:pPr>
      <w:r>
        <w:rPr>
          <w:lang w:val="es-AR" w:eastAsia="es-AR" w:bidi="es-AR"/>
        </w:rPr>
        <w:t xml:space="preserve">Asimismo, la solución adoptada (excluir el 80% del tramo craneofacial y reconocer el 20% residual) armoniza con la doctrina legal vigente de esta Cámara porque respeta su doble directriz: i) el no uso de casco no integra la causalidad del accidente —no desplaza la autoría civil— y solo incide en la extensión del daño (“mayor daño”); y ii) lo que corresponde sustraer del quantum son aquellas consecuencias que “habrían podido evitarse o mitigarse” con el casco, esto es, una porción del perjuicio y no, por regla, su totalidad. Así lo dejó sentado el a quo al citar precedente reciente de la Cámara (causa N° 5575-25, 13/05/2025): la falta de casco </w:t>
      </w:r>
      <w:r>
        <w:rPr>
          <w:i/>
          <w:lang w:val="es-AR" w:eastAsia="es-AR" w:bidi="es-AR"/>
        </w:rPr>
        <w:t xml:space="preserve">“carece de repercusión en la producción del accidente”</w:t>
      </w:r>
      <w:r>
        <w:rPr>
          <w:lang w:val="es-AR" w:eastAsia="es-AR" w:bidi="es-AR"/>
        </w:rPr>
        <w:t xml:space="preserve">, aunque </w:t>
      </w:r>
      <w:r>
        <w:rPr>
          <w:i/>
          <w:lang w:val="es-AR" w:eastAsia="es-AR" w:bidi="es-AR"/>
        </w:rPr>
        <w:t xml:space="preserve">“habría operado presumiblemente como un factor reductor del daño”</w:t>
      </w:r>
      <w:r>
        <w:rPr>
          <w:lang w:val="es-AR" w:eastAsia="es-AR" w:bidi="es-AR"/>
        </w:rPr>
        <w:t xml:space="preserve">, por lo que deben sustraerse del resarcimiento las consecuencias evitables o mitigables en la proporción en que hubiese operado la evitación o mitigación.</w:t>
      </w:r>
    </w:p>
    <w:p>
      <w:pPr>
        <w:pStyle w:val="[Normal]"/>
        <w:spacing w:line="360" w:lineRule="auto"/>
        <w:ind w:firstLine="1134"/>
        <w:jc w:val="both"/>
        <w:rPr>
          <w:lang w:val="es-AR" w:eastAsia="es-AR" w:bidi="es-AR"/>
        </w:rPr>
      </w:pPr>
      <w:r>
        <w:rPr>
          <w:lang w:val="es-AR" w:eastAsia="es-AR" w:bidi="es-AR"/>
        </w:rPr>
        <w:t xml:space="preserve">A mayor abundamiento, y para robustecer argumentalmente la reducción del 80% aplicada sobre las secuelas craneofaciales por no uso de casco, es dable apuntar los siguientes datos empíricos y evidencia sociológica que confirman su fuerte (aunque no absoluta) eficacia preventiva, respaldando de tal modo la solución aquí propiciada. Veamos:</w:t>
      </w:r>
    </w:p>
    <w:p>
      <w:pPr>
        <w:pStyle w:val="[Normal]"/>
        <w:spacing w:line="360" w:lineRule="auto"/>
        <w:ind w:firstLine="1134"/>
        <w:jc w:val="both"/>
        <w:rPr>
          <w:lang w:val="es-AR" w:eastAsia="es-AR" w:bidi="es-AR"/>
        </w:rPr>
      </w:pPr>
      <w:r>
        <w:rPr>
          <w:lang w:val="es-AR" w:eastAsia="es-AR" w:bidi="es-AR"/>
        </w:rPr>
        <w:t xml:space="preserve">- Evidencia internacional y sanitaria. La OMS reporta que el casco reduce el riesgo de lesión cerebral hasta en un 74% y la probabilidad de muerte </w:t>
      </w:r>
      <w:r>
        <w:rPr>
          <w:i/>
          <w:lang w:val="es-AR" w:eastAsia="es-AR" w:bidi="es-AR"/>
        </w:rPr>
        <w:t xml:space="preserve">“más de seis veces”</w:t>
      </w:r>
      <w:r>
        <w:rPr>
          <w:lang w:val="es-AR" w:eastAsia="es-AR" w:bidi="es-AR"/>
        </w:rPr>
        <w:t xml:space="preserve">, con impacto probado en la gravedad y letalidad de siniestros viales con motociclistas. Estos datos sustentan técnicamente una deducción elevada del segmento de daño craneoencefálico atribuible a la falta de casco (Liu BC, Ivers R, Norton R, Boufous S, Blows S, Lo SK. Helmets for preventing injury in motorcycle riders. Cochrane Database of Systematic Reviews 2008, Issue 1. Art. No.: CD004333. DOI: 10.1002/14651858.CD004333.pub3. en https://www.cochrane.org/evidence/CD004333_helmets-are-shown-reduce-motorcyclist-head-injury-and-death?utm_source=chatgpt.com).</w:t>
      </w:r>
    </w:p>
    <w:p>
      <w:pPr>
        <w:pStyle w:val="[Normal]"/>
        <w:spacing w:line="360" w:lineRule="auto"/>
        <w:ind w:firstLine="1134"/>
        <w:jc w:val="both"/>
        <w:rPr>
          <w:lang w:val="es-AR" w:eastAsia="es-AR" w:bidi="es-AR"/>
        </w:rPr>
      </w:pPr>
      <w:r>
        <w:rPr>
          <w:lang w:val="es-AR" w:eastAsia="es-AR" w:bidi="es-AR"/>
        </w:rPr>
        <w:t xml:space="preserve">- Metaanálisis y revisiones sistemáticas. La Colaboración Cochrane concluyó que los cascos disminuyen el riesgo de lesión de cabeza alrededor del 69% y el riesgo de muerte aproximadamente un 42%, sin evidencia suficiente para afirmar la eliminación total del daño ni para equiparar siempre la protección facial según tipo de casco. Ello avala una reducción intensa, pero no del 100%, coherente con nuestro remanente indemnizable del 20% (Social Determinants of Health (SDH), Editors World Health Organization, Reference numbers: ISBN: 978-92-4-006982-4, </w:t>
        <w:br w:type="textWrapping"/>
      </w:r>
      <w:r>
        <w:rPr>
          <w:lang w:val="es-AR" w:eastAsia="es-AR" w:bidi="es-AR"/>
        </w:rPr>
        <w:t xml:space="preserve">https://www.who.int/publications/i/item/9789240069824?utm_source=chatgpt.com).</w:t>
      </w:r>
    </w:p>
    <w:p>
      <w:pPr>
        <w:pStyle w:val="[Normal]"/>
        <w:spacing w:line="360" w:lineRule="auto"/>
        <w:ind w:firstLine="1134"/>
        <w:jc w:val="both"/>
        <w:rPr>
          <w:lang w:val="es-AR" w:eastAsia="es-AR" w:bidi="es-AR"/>
        </w:rPr>
      </w:pPr>
      <w:r>
        <w:rPr>
          <w:lang w:val="es-AR" w:eastAsia="es-AR" w:bidi="es-AR"/>
        </w:rPr>
        <w:t xml:space="preserve">- La Agencia Nacional de Seguridad Vial advierte que los traumatismos craneoencefálicos constituyen la principal causa de lesiones graves, discapacidad y fallecimientos entre motociclistas sin casco; además, en Argentina 4 de cada 10 muertes en siniestros viales corresponden a motociclistas, lo que dimensiona el peso epidemiológico del factor “casco” en la reducción del daño social. Estos hallazgos refuerzan, con enfoque contextual, la decisión de imputar gran parte del “mayor daño” a la omisión del casco (https://www.argentina.gob.ar/sites/default/files/2018/12/ansv_costos_tx_cabeza_motociclistas_nacion_2019.pdf?utm_source=chatgpt.com).</w:t>
      </w:r>
    </w:p>
    <w:p>
      <w:pPr>
        <w:pStyle w:val="[Normal]"/>
        <w:spacing w:line="360" w:lineRule="auto"/>
        <w:ind w:firstLine="1134"/>
        <w:jc w:val="both"/>
        <w:rPr>
          <w:lang w:val="es-AR" w:eastAsia="es-AR" w:bidi="es-AR"/>
        </w:rPr>
      </w:pPr>
      <w:r>
        <w:rPr>
          <w:lang w:val="es-AR" w:eastAsia="es-AR" w:bidi="es-AR"/>
        </w:rPr>
        <w:t xml:space="preserve">- La literatura clínica disponible muestra asociación entre uso de casco y menor incidencia de fracturas faciales; y que los cascos integrales (full-face) tienden a proteger más cabeza y cuello que otros tipos, sin garantizar inmunidad total de lesiones faciales (https://pubmed.ncbi.nlm.nih.gov/36629720/). </w:t>
      </w:r>
    </w:p>
    <w:p>
      <w:pPr>
        <w:pStyle w:val="[Normal]"/>
        <w:spacing w:line="360" w:lineRule="auto"/>
        <w:ind w:firstLine="1134"/>
        <w:jc w:val="both"/>
        <w:rPr>
          <w:lang w:val="es-AR" w:eastAsia="es-AR" w:bidi="es-AR"/>
        </w:rPr>
      </w:pPr>
      <w:r>
        <w:rPr>
          <w:lang w:val="es-AR" w:eastAsia="es-AR" w:bidi="es-AR"/>
        </w:rPr>
        <w:t xml:space="preserve">En suma, este complejo cuadro documental abona la tesis de la protección alta pero no perfecta, y justifica consecuentemente excluir una porción mayoritaria del tramo craneofacial (80%) y conservar un 20% residual acorde a la pericia (“podría haber atenuado”), a la fuentes científicas disponibles y a la sana crítica racional (art. 389 del CPCCBA). </w:t>
      </w:r>
    </w:p>
    <w:p>
      <w:pPr>
        <w:pStyle w:val="[Normal]"/>
        <w:spacing w:line="360" w:lineRule="auto"/>
        <w:ind w:firstLine="1134"/>
        <w:jc w:val="both"/>
        <w:rPr>
          <w:lang w:val="es-AR" w:eastAsia="es-AR" w:bidi="es-AR"/>
        </w:rPr>
      </w:pPr>
      <w:r>
        <w:rPr>
          <w:lang w:val="es-AR" w:eastAsia="es-AR" w:bidi="es-AR"/>
        </w:rPr>
        <w:t xml:space="preserve">A mayor abundamiento, es dable señalar que la relación de causalidad entre la conducta de la víctima y el agravamiento o no disminución del daño evitable por omisión de adoptar las medidas razonables para mitigarlo, presenta una doble matriz de complejidad. </w:t>
      </w:r>
    </w:p>
    <w:p>
      <w:pPr>
        <w:pStyle w:val="[Normal]"/>
        <w:spacing w:line="360" w:lineRule="auto"/>
        <w:ind w:firstLine="1134"/>
        <w:jc w:val="both"/>
        <w:rPr>
          <w:lang w:val="es-AR" w:eastAsia="es-AR" w:bidi="es-AR"/>
        </w:rPr>
      </w:pPr>
      <w:r>
        <w:rPr>
          <w:lang w:val="es-AR" w:eastAsia="es-AR" w:bidi="es-AR"/>
        </w:rPr>
        <w:t xml:space="preserve">A diferencia del agravamiento del daño por conducta positiva en el que simplemente hay que determinar si efectivamente la conducta de la víctima ha sido causa adecuada del agravamiento del daño, en la modalidad omisiva del deber de prevención ex post, el nexo de causalidad es negativo, y eso significa que el juez debe representarse la hipótesis mental de si el agravamiento del daño se hubiese podido evitar en caso de que la víctima hubiese adoptado las medidas razonables tendientes a mitigarlo. Confirmada dicha hipótesis con grado de probabilidad suficiente o certeza, se tendrá por verificada la relación de causalidad. </w:t>
      </w:r>
    </w:p>
    <w:p>
      <w:pPr>
        <w:pStyle w:val="[Normal]"/>
        <w:spacing w:line="360" w:lineRule="auto"/>
        <w:ind w:firstLine="1134"/>
        <w:jc w:val="both"/>
        <w:rPr>
          <w:lang w:val="es-AR" w:eastAsia="es-AR" w:bidi="es-AR"/>
        </w:rPr>
      </w:pPr>
      <w:r>
        <w:rPr>
          <w:lang w:val="es-AR" w:eastAsia="es-AR" w:bidi="es-AR"/>
        </w:rPr>
        <w:t xml:space="preserve">Este nexo de evitación se establece mediante una hipótesis mental similar a la que empleamos para establecer el nexo de causación en la estructura típica activa: si imaginamos la conducta debida y con ello desaparece el resultado, habrá un nexo de evitación, en tanto que si imaginamos la conducta debida y el resultado permanece, no existirá un nexo de evitación. Mutatis mutandis, si la adopción hipotética de las medidas razonables por parte de la víctima (uso de casco) arroja una elevada probabilidad de que el resultado hubiera desaparecido o se hubiese reducido (evitación total o parcial de la lesión craneal) corresponderá afirmar la existencia de relación de causalidad entre la conducta agravadora y el daño evitable posterior (</w:t>
      </w:r>
      <w:r>
        <w:rPr>
          <w:color w:val="000000"/>
          <w:lang w:val="es-AR" w:eastAsia="es-AR" w:bidi="es-AR"/>
        </w:rPr>
        <w:t xml:space="preserve">Cf. CRESPO, Mariano Medina, La valoración civil del daño corporal, Bases para un tratado, Tomo III, Volumen I, Las reglas generales del sistema, Ed. Dykinson, 1999, Madrid, pag. 242 y ss).</w:t>
      </w:r>
    </w:p>
    <w:p>
      <w:pPr>
        <w:pStyle w:val="[Normal]"/>
        <w:spacing w:line="360" w:lineRule="auto"/>
        <w:ind w:firstLine="1134"/>
        <w:jc w:val="both"/>
        <w:rPr>
          <w:lang w:val="es-AR" w:eastAsia="es-AR" w:bidi="es-AR"/>
        </w:rPr>
      </w:pPr>
      <w:r>
        <w:rPr>
          <w:lang w:val="es-AR" w:eastAsia="es-AR" w:bidi="es-AR"/>
        </w:rPr>
        <w:t xml:space="preserve">La segunda matriz de complejidad viene dada por el hecho de que  la verificación práctica de la relación de causalidad que examinamos en esta etapa del procedimiento presenta un nivel de sofisticación mucho mayor que la que importa la comprobación de la relación de causalidad como presupuesto de la responsabilidad civil. </w:t>
      </w:r>
    </w:p>
    <w:p>
      <w:pPr>
        <w:pStyle w:val="[Normal]"/>
        <w:spacing w:line="360" w:lineRule="auto"/>
        <w:ind w:firstLine="1134"/>
        <w:jc w:val="both"/>
        <w:rPr>
          <w:lang w:val="es-AR" w:eastAsia="es-AR" w:bidi="es-AR"/>
        </w:rPr>
      </w:pPr>
      <w:r>
        <w:rPr>
          <w:lang w:val="es-AR" w:eastAsia="es-AR" w:bidi="es-AR"/>
        </w:rPr>
        <w:t xml:space="preserve">Es que ya no se trata simplemente de analizar la vinculación fáctica-jurídica entre un antecedente –el hecho generador- y un consecuente –el daño resarcible-, sino que en esta instancia analítica es preciso también deslindar el perjuicio originario de su respectivo agravamiento ulterior, como condición ineludible para poder ponderar la incidencia causal de la conducta de la víctima en la etapa del post-daño (Cf. MOREA, Adrián, El deber de mitigar el daño por parte de la víctima, Tesis doctoral, Pontificia Universidad Católica Argentina, publicada en Editorial Dialnet, 2016).</w:t>
      </w:r>
    </w:p>
    <w:p>
      <w:pPr>
        <w:pStyle w:val="[Normal]"/>
        <w:spacing w:line="360" w:lineRule="auto"/>
        <w:ind w:firstLine="1134"/>
        <w:jc w:val="both"/>
        <w:rPr>
          <w:lang w:val="es-AR" w:eastAsia="es-AR" w:bidi="es-AR"/>
        </w:rPr>
      </w:pPr>
      <w:r>
        <w:rPr>
          <w:lang w:val="es-AR" w:eastAsia="es-AR" w:bidi="es-AR"/>
        </w:rPr>
        <w:t xml:space="preserve"> En la especie, habrá que determinar qué porción del daño resulta atribuible a la conducta del responsable, y qué porción del daño es endilgable a la omisión antijurídica (falta de uso de casco).</w:t>
      </w:r>
    </w:p>
    <w:p>
      <w:pPr>
        <w:pStyle w:val="[Normal]"/>
        <w:spacing w:line="360" w:lineRule="auto"/>
        <w:ind w:firstLine="1134"/>
        <w:jc w:val="both"/>
        <w:rPr>
          <w:lang w:val="es-AR" w:eastAsia="es-AR" w:bidi="es-AR"/>
        </w:rPr>
      </w:pPr>
      <w:r>
        <w:rPr>
          <w:lang w:val="es-AR" w:eastAsia="es-AR" w:bidi="es-AR"/>
        </w:rPr>
        <w:t xml:space="preserve">Precisamente La matriz omisiva del “mayor daño” coloca al juez ante un juicio contrafáctico -nexo de evitación- que no replica la lógica binaria de la causación activa. Aquí no se averigua si un antecedente produjo el resultado, sino si la conducta debida omitida (uso de casco u otras medidas razonables) lo habría evitado o atenuado. Ese examen exige modelizar escenarios hipotéticos, asignar probabilidades a efectos preventivos y deslindar con fineza el daño originario de su agravamiento ulterior. </w:t>
      </w:r>
    </w:p>
    <w:p>
      <w:pPr>
        <w:pStyle w:val="[Normal]"/>
        <w:spacing w:line="360" w:lineRule="auto"/>
        <w:ind w:firstLine="1134"/>
        <w:jc w:val="both"/>
        <w:rPr>
          <w:lang w:val="es-AR" w:eastAsia="es-AR" w:bidi="es-AR"/>
        </w:rPr>
      </w:pPr>
      <w:r>
        <w:rPr>
          <w:lang w:val="es-AR" w:eastAsia="es-AR" w:bidi="es-AR"/>
        </w:rPr>
        <w:t xml:space="preserve">En términos normativos, la causalidad adecuada (art. 1726 CCyC) y la concausa de la víctima (art. 1729 CCyC) operan sobre un soporte probatorio esencialmente probabilístico; de ahí que la sana crítica (art. 384 CPCCBA) y la equidad funcional de la reparación (arts. 1738 y 1740 CCyC) cobren preeminencia sobre reglas cerradas.</w:t>
      </w:r>
    </w:p>
    <w:p>
      <w:pPr>
        <w:pStyle w:val="[Normal]"/>
        <w:spacing w:line="360" w:lineRule="auto"/>
        <w:ind w:firstLine="1134"/>
        <w:jc w:val="both"/>
        <w:rPr>
          <w:lang w:val="es-AR" w:eastAsia="es-AR" w:bidi="es-AR"/>
        </w:rPr>
      </w:pPr>
      <w:r>
        <w:rPr>
          <w:lang w:val="es-AR" w:eastAsia="es-AR" w:bidi="es-AR"/>
        </w:rPr>
        <w:t xml:space="preserve">Esa estructura epistémica -contrafácticos, probabilidades, desagregación del daño en tramos evitables y no evitables- justifica reconocer un mayor margen de apreciación judicial para fijar la proporción de reducción. Primero, porque la evidencia disponible raramente ofrece certezas deterministas (el dictamen habla de atenuación probable, no de eliminación segura); segundo, porque la eficacia preventiva varía según el tipo y ajuste del medio omitido, el vector lesivo y las condiciones del caso, lo que impide trasladar porcentajes rígidos entre asuntos; y tercero, porque el deslinde entre daño inicial y agravamiento requiere juicios de ponderación que integran datos de la realidad con criterios de razonabilidad jurídica. En tal contexto, la determinación de la cuota de “mayor daño” no es un cálculo automático sino una decisión prudencial fundada, que debe expresar por qué, a partir de la prueba, se excluye un tramo mayoritario, medio o menor del perjuicio.</w:t>
      </w:r>
    </w:p>
    <w:p>
      <w:pPr>
        <w:pStyle w:val="[Normal]"/>
        <w:spacing w:line="360" w:lineRule="auto"/>
        <w:ind w:firstLine="1134"/>
        <w:jc w:val="both"/>
        <w:rPr>
          <w:lang w:val="es-AR" w:eastAsia="es-AR" w:bidi="es-AR"/>
        </w:rPr>
      </w:pPr>
      <w:r>
        <w:rPr>
          <w:lang w:val="es-AR" w:eastAsia="es-AR" w:bidi="es-AR"/>
        </w:rPr>
        <w:t xml:space="preserve">Corresponde entonces habilitar un margen discrecional más amplio al juzgador para fijar la reducción -siempre dentro de bandas razonables y con apoyo en la pericia y la experiencia-, y reservar a la alzada un control de arbitrariedad, coherencia interna y suficiencia de fundamentos. De este modo, la decisión que, por ejemplo, excluye el 80% del segmento craneofacial y reconoce un 20% residual no contradice la reparación plena: la armoniza con la concausa de la víctima, traduce en porcentajes una probabilidad de evitación alta pero no absoluta y respeta la estructura contrafáctica propia del </w:t>
      </w:r>
      <w:r>
        <w:rPr>
          <w:i/>
          <w:lang w:val="es-AR" w:eastAsia="es-AR" w:bidi="es-AR"/>
        </w:rPr>
        <w:t xml:space="preserve">“nexo de evitación”</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A nivel sistémico, esta solución concilia los arts. 1726, 1729 y 1740 CCyC con la regla de uso de casco (art. 40 inc. j, Ley 24.449), respeta la función del criterio de “mayor daño” receptado en la sentencia y se apoya en la pericia y la sana crítica (art. 384 CPCCBA), evitando los dos excesos: ni trasladar a la víctima el 100% del segmento sin respaldo técnico, ni ignorar la infracción que incrementó significativamente la magnitud lesiva.</w:t>
      </w:r>
    </w:p>
    <w:p>
      <w:pPr>
        <w:pStyle w:val="[Normal]"/>
        <w:spacing w:line="360" w:lineRule="auto"/>
        <w:ind w:firstLine="1134"/>
        <w:jc w:val="both"/>
        <w:rPr>
          <w:lang w:val="es-AR" w:eastAsia="es-AR" w:bidi="es-AR"/>
        </w:rPr>
      </w:pPr>
      <w:r>
        <w:rPr>
          <w:lang w:val="es-AR" w:eastAsia="es-AR" w:bidi="es-AR"/>
        </w:rPr>
        <w:t xml:space="preserve">En consecuencia, propicio admitir el agravio de modo parcial, fijando la incidencia del no uso de casco en el 80% respecto del daño craneofacial. </w:t>
      </w:r>
    </w:p>
    <w:p>
      <w:pPr>
        <w:pStyle w:val="[Normal]"/>
        <w:spacing w:line="360" w:lineRule="auto"/>
        <w:ind w:firstLine="1134"/>
        <w:jc w:val="both"/>
        <w:rPr>
          <w:lang w:val="es-AR" w:eastAsia="es-AR" w:bidi="es-AR"/>
        </w:rPr>
      </w:pPr>
      <w:r>
        <w:rPr>
          <w:lang w:val="es-AR" w:eastAsia="es-AR" w:bidi="es-AR"/>
        </w:rPr>
        <w:t xml:space="preserve">A resultas de ello, de los 15 puntos por cicatrices (10% rostro + 5% cuero cabelludo), propongo excluir el 80% y reconocer el 20% restante como resarcible. Ello arroja 3 puntos indemnizables por ese tramo, que, adicionados al 4% por meniscectomía, determinan una incapacidad parcial y permanente indemnizable del 7%.</w:t>
      </w:r>
    </w:p>
    <w:p>
      <w:pPr>
        <w:pStyle w:val="[Normal]"/>
        <w:spacing w:line="360" w:lineRule="auto"/>
        <w:ind w:firstLine="1134"/>
        <w:jc w:val="both"/>
        <w:rPr>
          <w:lang w:val="es-AR" w:eastAsia="es-AR" w:bidi="es-AR"/>
        </w:rPr>
      </w:pPr>
      <w:r>
        <w:rPr>
          <w:lang w:val="es-AR" w:eastAsia="es-AR" w:bidi="es-AR"/>
        </w:rPr>
        <w:t xml:space="preserve">III.- Corresponde a continuación examinar el agravio por el cual la actora cuestiona que la condena a la citada en garantía quede sujeta al límite histórico de la póliza.</w:t>
      </w:r>
    </w:p>
    <w:p>
      <w:pPr>
        <w:pStyle w:val="[Normal]"/>
        <w:spacing w:line="360" w:lineRule="auto"/>
        <w:ind w:firstLine="1134"/>
        <w:jc w:val="both"/>
        <w:rPr>
          <w:lang w:val="es-AR" w:eastAsia="es-AR" w:bidi="es-AR"/>
        </w:rPr>
      </w:pPr>
      <w:r>
        <w:rPr>
          <w:lang w:val="es-AR" w:eastAsia="es-AR" w:bidi="es-AR"/>
        </w:rPr>
        <w:t xml:space="preserve">El fallo de grado, al responsabilizar a la aseguradora del Ford Fiesta, circunscribió su obligación a “los límites convenidos”, con remisión al art. 118 de la ley 17.418, sin precisar su adecuación temporal. </w:t>
      </w:r>
    </w:p>
    <w:p>
      <w:pPr>
        <w:pStyle w:val="[Normal]"/>
        <w:spacing w:line="360" w:lineRule="auto"/>
        <w:ind w:firstLine="1134"/>
        <w:jc w:val="both"/>
        <w:rPr>
          <w:lang w:val="es-AR" w:eastAsia="es-AR" w:bidi="es-AR"/>
        </w:rPr>
      </w:pPr>
      <w:r>
        <w:rPr>
          <w:lang w:val="es-AR" w:eastAsia="es-AR" w:bidi="es-AR"/>
        </w:rPr>
        <w:t xml:space="preserve">En este sentido, advierto que la solución aplicada desconoce la doctrina legal de la SCBA en la causa </w:t>
      </w:r>
      <w:r>
        <w:rPr>
          <w:i/>
          <w:lang w:val="es-AR" w:eastAsia="es-AR" w:bidi="es-AR"/>
        </w:rPr>
        <w:t xml:space="preserve">“Martínez, Emir c/ Boito”</w:t>
      </w:r>
      <w:r>
        <w:rPr>
          <w:lang w:val="es-AR" w:eastAsia="es-AR" w:bidi="es-AR"/>
        </w:rPr>
        <w:t xml:space="preserve"> conforme a la cual las cláusulas de delimitación cuantitativa del riesgo no son abusivas per se, pero su aplicación literal en valor histórico puede tornarse irrazonable si desnaturaliza el interés asegurado y vacía de contenido la garantía. </w:t>
      </w:r>
    </w:p>
    <w:p>
      <w:pPr>
        <w:pStyle w:val="[Normal]"/>
        <w:spacing w:line="360" w:lineRule="auto"/>
        <w:ind w:firstLine="1134"/>
        <w:jc w:val="both"/>
        <w:rPr>
          <w:lang w:val="es-AR" w:eastAsia="es-AR" w:bidi="es-AR"/>
        </w:rPr>
      </w:pPr>
      <w:r>
        <w:rPr>
          <w:lang w:val="es-AR" w:eastAsia="es-AR" w:bidi="es-AR"/>
        </w:rPr>
        <w:t xml:space="preserve">En tales supuestos, la condena debe abarcar, como mínimo, la cobertura básica vigente al momento de la sentencia definitiva, sustituyendo el componente histórico por el vigente, sin perjuicio de que el límite contratado -si fuera superior- opere como techo. </w:t>
      </w:r>
    </w:p>
    <w:p>
      <w:pPr>
        <w:pStyle w:val="[Normal]"/>
        <w:spacing w:line="360" w:lineRule="auto"/>
        <w:ind w:firstLine="1134"/>
        <w:jc w:val="both"/>
        <w:rPr>
          <w:lang w:val="es-AR" w:eastAsia="es-AR" w:bidi="es-AR"/>
        </w:rPr>
      </w:pPr>
      <w:r>
        <w:rPr>
          <w:lang w:val="es-AR" w:eastAsia="es-AR" w:bidi="es-AR"/>
        </w:rPr>
        <w:t xml:space="preserve">Por ello, la condena a la citada debe comprender, como piso, la cobertura básica vigente al momento de la valuación judicial del daño, sin perjuicio del mayor límite contratado si fuere superior. Dicho estándar, además, conecta con el principio de reparación plena y con el equilibrio prestacional en contratos por adhesión.</w:t>
      </w:r>
    </w:p>
    <w:p>
      <w:pPr>
        <w:pStyle w:val="[Normal]"/>
        <w:spacing w:line="360" w:lineRule="auto"/>
        <w:ind w:firstLine="1134"/>
        <w:jc w:val="both"/>
        <w:rPr>
          <w:lang w:val="es-AR" w:eastAsia="es-AR" w:bidi="es-AR"/>
        </w:rPr>
      </w:pPr>
      <w:r>
        <w:rPr>
          <w:lang w:val="es-AR" w:eastAsia="es-AR" w:bidi="es-AR"/>
        </w:rPr>
        <w:t xml:space="preserve">En consecuencia, corresponde hacer lugar parcialmente al agravio, declarar inoponible el límite histórico y ordenar su readecuación de la siguiente forma. La obligación de responder de la citada deberá extenderse hasta el mayor (límite) de: i) la cobertura básica obligatoria vigente a la fecha de la sentencia (04/08/2025), o ii) el límite contractual si resultare superior. La precisión numérica se fijará en la etapa de ejecución, verificando el régimen mínimo aplicable a esa fecha. </w:t>
      </w:r>
    </w:p>
    <w:p>
      <w:pPr>
        <w:pStyle w:val="[Normal]"/>
        <w:spacing w:line="360" w:lineRule="auto"/>
        <w:ind w:firstLine="1134"/>
        <w:jc w:val="both"/>
        <w:rPr>
          <w:lang w:val="es-AR" w:eastAsia="es-AR" w:bidi="es-AR"/>
        </w:rPr>
      </w:pPr>
      <w:r>
        <w:rPr>
          <w:lang w:val="es-AR" w:eastAsia="es-AR" w:bidi="es-AR"/>
        </w:rPr>
        <w:t xml:space="preserve">IV.- Transitando al agravio relativo al daño por incapacidad sobreviniente, es dable ingresar a su tratamiento en modo concordante con lo ya resuelto respecto del no uso de casco. </w:t>
      </w:r>
    </w:p>
    <w:p>
      <w:pPr>
        <w:pStyle w:val="[Normal]"/>
        <w:spacing w:line="360" w:lineRule="auto"/>
        <w:ind w:firstLine="1134"/>
        <w:jc w:val="both"/>
        <w:rPr>
          <w:lang w:val="es-AR" w:eastAsia="es-AR" w:bidi="es-AR"/>
        </w:rPr>
      </w:pPr>
      <w:r>
        <w:rPr>
          <w:lang w:val="es-AR" w:eastAsia="es-AR" w:bidi="es-AR"/>
        </w:rPr>
        <w:t xml:space="preserve">Las constancias objetivas acreditan: i) edad de la víctima al hecho (16 años), ii) traumatismo craneoencefálico leve y lesiones craneofaciales, y iii) pericia médica que fija una incapacidad del 18,4%, desagregada en 4% por meniscectomía parcial artroscópica y 15% por cicatrices (10% faciales y 5% en cuero cabelludo). 	</w:t>
        <w:br w:type="textWrapping"/>
      </w:r>
      <w:r>
        <w:rPr>
          <w:lang w:val="es-AR" w:eastAsia="es-AR" w:bidi="es-AR"/>
        </w:rPr>
        <w:t xml:space="preserve"> 	En relación a este último aspecto, el a quo excluyó íntegramente ese 15% por considerar que el no uso de casco operó como factor de “mayor daño”. Sin embargo, aquí ya se ha rectificado ese criterio, disponiendo que dicha incidencia sea del 80% y reconociendo un 20% residual resarcible (3 puntos) por el tramo craneofacial, por lo que la incapacidad indemnizable asciende al 7% (4% rodilla + 3% remanente craneofacial).</w:t>
      </w:r>
    </w:p>
    <w:p>
      <w:pPr>
        <w:pStyle w:val="[Normal]"/>
        <w:spacing w:line="360" w:lineRule="auto"/>
        <w:ind w:firstLine="1134"/>
        <w:jc w:val="both"/>
        <w:rPr>
          <w:lang w:val="es-AR" w:eastAsia="es-AR" w:bidi="es-AR"/>
        </w:rPr>
      </w:pPr>
      <w:r>
        <w:rPr>
          <w:lang w:val="es-AR" w:eastAsia="es-AR" w:bidi="es-AR"/>
        </w:rPr>
        <w:t xml:space="preserve">Para recalcular el rubro “incapacidad sobreviniente” aplicaré el mismo método utilizado por el a quo (el cual no ha sido cuestionado en su faz metodológica): salario mínimo vital y móvil como base, fórmula de renta constante no perpetua, tasa de descuento anual 4% e idéntico horizonte temporal, variando únicamente el porcentaje de incapacidad —que pasa de 4% a 7%—. </w:t>
      </w:r>
    </w:p>
    <w:p>
      <w:pPr>
        <w:pStyle w:val="[Normal]"/>
        <w:spacing w:line="360" w:lineRule="auto"/>
        <w:ind w:firstLine="1134"/>
        <w:jc w:val="both"/>
        <w:rPr>
          <w:lang w:val="es-AR" w:eastAsia="es-AR" w:bidi="es-AR"/>
        </w:rPr>
      </w:pPr>
      <w:r>
        <w:rPr>
          <w:lang w:val="es-AR" w:eastAsia="es-AR" w:bidi="es-AR"/>
        </w:rPr>
        <w:t xml:space="preserve">En la sentencia se fijó el SMVM en $322.000, se empleó la planilla de renta constante con i = 0,04 y n = 44, y se obtuvo un capital de $3.419.327,19 con una incapacidad computada del 4% (con un “Ingreso anual potencialmente afectado (A)” de $166.400)?</w:t>
      </w:r>
    </w:p>
    <w:p>
      <w:pPr>
        <w:pStyle w:val="[Normal]"/>
        <w:spacing w:line="360" w:lineRule="auto"/>
        <w:ind w:firstLine="1134"/>
        <w:jc w:val="both"/>
        <w:rPr>
          <w:lang w:val="es-AR" w:eastAsia="es-AR" w:bidi="es-AR"/>
        </w:rPr>
      </w:pPr>
      <w:r>
        <w:rPr>
          <w:lang w:val="es-AR" w:eastAsia="es-AR" w:bidi="es-AR"/>
        </w:rPr>
        <w:t xml:space="preserve">Preservando idénticos parámetros y la misma lógica lineal de la planilla (el capital es proporcional al “A”, y éste al porcentaje de incapacidad), corresponde readecuar el resultado del siguiente modo:</w:t>
      </w:r>
    </w:p>
    <w:p>
      <w:pPr>
        <w:pStyle w:val="[Normal]"/>
        <w:spacing w:line="360" w:lineRule="auto"/>
        <w:ind w:firstLine="1134"/>
        <w:jc w:val="both"/>
        <w:rPr>
          <w:lang w:val="es-AR" w:eastAsia="es-AR" w:bidi="es-AR"/>
        </w:rPr>
      </w:pPr>
      <w:r>
        <w:rPr>
          <w:lang w:val="es-AR" w:eastAsia="es-AR" w:bidi="es-AR"/>
        </w:rPr>
        <w:t xml:space="preserve">A (4%) = $166.400 ? A (7%) = $166.400 × 7/4 = $291.200.</w:t>
      </w:r>
    </w:p>
    <w:p>
      <w:pPr>
        <w:pStyle w:val="[Normal]"/>
        <w:spacing w:line="360" w:lineRule="auto"/>
        <w:ind w:firstLine="1134"/>
        <w:jc w:val="both"/>
        <w:rPr>
          <w:lang w:val="es-AR" w:eastAsia="es-AR" w:bidi="es-AR"/>
        </w:rPr>
      </w:pPr>
      <w:r>
        <w:rPr>
          <w:lang w:val="es-AR" w:eastAsia="es-AR" w:bidi="es-AR"/>
        </w:rPr>
        <w:t xml:space="preserve">Capital (4%) = $3.419.327,19 ? Capital (7%) = $3.419.327,19 × 7/4 = $5.983.822,58.</w:t>
      </w:r>
    </w:p>
    <w:p>
      <w:pPr>
        <w:pStyle w:val="[Normal]"/>
        <w:spacing w:line="360" w:lineRule="auto"/>
        <w:ind w:firstLine="1134"/>
        <w:jc w:val="both"/>
        <w:rPr>
          <w:lang w:val="es-AR" w:eastAsia="es-AR" w:bidi="es-AR"/>
        </w:rPr>
      </w:pPr>
      <w:r>
        <w:rPr>
          <w:lang w:val="es-AR" w:eastAsia="es-AR" w:bidi="es-AR"/>
        </w:rPr>
        <w:t xml:space="preserve">De este modo, con incapacidad indemnizable del 7% -coherente con lo resuelto en el segundo agravio- y sin alterar ninguno de los datos establecidos por el juez (SMVM, tasa, horizonte y fórmula), el monto del rubro incapacidad asciende a $5.983.822,58 al mes de julio de 2025, quedando las restantes variables (intereses y demás pautas) regidas por lo ya establecido en la sentencia.</w:t>
      </w:r>
    </w:p>
    <w:p>
      <w:pPr>
        <w:pStyle w:val="[Normal]"/>
        <w:spacing w:line="360" w:lineRule="auto"/>
        <w:ind w:firstLine="1134"/>
        <w:jc w:val="both"/>
        <w:rPr>
          <w:lang w:val="es-AR" w:eastAsia="es-AR" w:bidi="es-AR"/>
        </w:rPr>
      </w:pPr>
      <w:r>
        <w:rPr>
          <w:lang w:val="es-AR" w:eastAsia="es-AR" w:bidi="es-AR"/>
        </w:rPr>
        <w:t xml:space="preserve">V.- En relación a la agravio vinculado a la cuantificación insuficiente del rubro daño moral, anticipo que haré lugar a la crítica formulada.</w:t>
      </w:r>
    </w:p>
    <w:p>
      <w:pPr>
        <w:pStyle w:val="[Normal]"/>
        <w:spacing w:line="360" w:lineRule="auto"/>
        <w:ind w:firstLine="1134"/>
        <w:jc w:val="both"/>
        <w:rPr>
          <w:lang w:val="es-AR" w:eastAsia="es-AR" w:bidi="es-AR"/>
        </w:rPr>
      </w:pPr>
      <w:r>
        <w:rPr>
          <w:lang w:val="es-AR" w:eastAsia="es-AR" w:bidi="es-AR"/>
        </w:rPr>
        <w:t xml:space="preserve">Es cierto que el a quo reconoció la procedencia del rubro en clave “in re ipsa”, destacó los padecimientos propios del hecho traumático (zozobra, temor, angustia) y cuantificó el rubro con arreglo al art. 1741 CCyC -satisfacciones sustitutivas y compensatorias- tomando como pauta el costo de un viaje a Bariloche de 6 días, por lo que fijó $1.650.000 a la fecha de la sentencia (04/08/2025).</w:t>
      </w:r>
    </w:p>
    <w:p>
      <w:pPr>
        <w:pStyle w:val="[Normal]"/>
        <w:spacing w:line="360" w:lineRule="auto"/>
        <w:ind w:firstLine="1134"/>
        <w:jc w:val="both"/>
        <w:rPr>
          <w:lang w:val="es-AR" w:eastAsia="es-AR" w:bidi="es-AR"/>
        </w:rPr>
      </w:pPr>
      <w:r>
        <w:rPr>
          <w:lang w:val="es-AR" w:eastAsia="es-AR" w:bidi="es-AR"/>
        </w:rPr>
        <w:t xml:space="preserve">En este marco, cabe confirmar la metodología -arbitrio razonado y pautas del art. 1741 CCyC- pero revisar el quantum a partir de las propias constancias valoradas: i) edad de 16 años al hecho y consiguiente proyección vital de las secuelas anímicas; ii) traumatismo craneoencefálico leve, lesiones craneofaciales y meniscectomía con rehabilitación, todos extremos que el fallo tuvo por acreditados; iii) lapso de convalecencia y tratamientos, con la carga psíquica y social que ello comporta (examenes, cirugía, cicatrices visibles).</w:t>
      </w:r>
    </w:p>
    <w:p>
      <w:pPr>
        <w:pStyle w:val="[Normal]"/>
        <w:spacing w:line="360" w:lineRule="auto"/>
        <w:ind w:firstLine="1134"/>
        <w:jc w:val="both"/>
        <w:rPr>
          <w:lang w:val="es-AR" w:eastAsia="es-AR" w:bidi="es-AR"/>
        </w:rPr>
      </w:pPr>
      <w:r>
        <w:rPr>
          <w:lang w:val="es-AR" w:eastAsia="es-AR" w:bidi="es-AR"/>
        </w:rPr>
        <w:t xml:space="preserve">Además, en coherencia con lo ya resuelto en el segundo agravio, el no uso de casco no incide en la autoría del hecho ni justifica, por sí, un recorte del daño moral -categoría no patrimonial vinculada al padecimiento espiritual por el accidente-, de modo que no corresponde proyectar sobre este rubro la reducción aplicada a la incapacidad.</w:t>
      </w:r>
    </w:p>
    <w:p>
      <w:pPr>
        <w:pStyle w:val="[Normal]"/>
        <w:spacing w:line="360" w:lineRule="auto"/>
        <w:ind w:firstLine="1134"/>
        <w:jc w:val="both"/>
        <w:rPr>
          <w:lang w:val="es-AR" w:eastAsia="es-AR" w:bidi="es-AR"/>
        </w:rPr>
      </w:pPr>
      <w:r>
        <w:rPr>
          <w:lang w:val="es-AR" w:eastAsia="es-AR" w:bidi="es-AR"/>
        </w:rPr>
        <w:t xml:space="preserve">Con tales pautas, la suma fijada en grado aparece inferior a la entidad del menoscabo extrapatrimonial demostrado. Sin sustituir el criterio de satisfacciones sustitutivas, pero sí dotándolo de mayor proporcionalidad respecto de las circunstancias del caso (gravedad del evento, cirugía, cicatrices en zona visible, corta edad), corresponde elevar prudencialmente el monto del daño moral.</w:t>
      </w:r>
    </w:p>
    <w:p>
      <w:pPr>
        <w:pStyle w:val="[Normal]"/>
        <w:spacing w:line="360" w:lineRule="auto"/>
        <w:ind w:firstLine="1134"/>
        <w:jc w:val="both"/>
        <w:rPr>
          <w:lang w:val="es-AR" w:eastAsia="es-AR" w:bidi="es-AR"/>
        </w:rPr>
      </w:pPr>
      <w:r>
        <w:rPr>
          <w:lang w:val="es-AR" w:eastAsia="es-AR" w:bidi="es-AR"/>
        </w:rPr>
        <w:t xml:space="preserve">En consecuencia, propiciaré hacer lugar parcialmente al agravio; fijar el daño moral en $2.750.000 a la fecha de la sentencia de primera instancia (04/08/2025) y mantener los intereses conforme el considerando VI de la sentencia apelada.</w:t>
      </w:r>
    </w:p>
    <w:p>
      <w:pPr>
        <w:pStyle w:val="[Normal]"/>
        <w:spacing w:line="360" w:lineRule="auto"/>
        <w:ind w:firstLine="1134"/>
        <w:jc w:val="both"/>
        <w:rPr>
          <w:lang w:val="es-AR" w:eastAsia="es-AR" w:bidi="es-AR"/>
        </w:rPr>
      </w:pPr>
      <w:r>
        <w:rPr>
          <w:lang w:val="es-AR" w:eastAsia="es-AR" w:bidi="es-AR"/>
        </w:rPr>
        <w:t xml:space="preserve">VI.- Finalmente, corresponde tratar el agravio relativo a los gastos médicos, farmacéuticos y de traslado. </w:t>
      </w:r>
    </w:p>
    <w:p>
      <w:pPr>
        <w:pStyle w:val="[Normal]"/>
        <w:spacing w:line="360" w:lineRule="auto"/>
        <w:ind w:firstLine="1134"/>
        <w:jc w:val="both"/>
        <w:rPr>
          <w:lang w:val="es-AR" w:eastAsia="es-AR" w:bidi="es-AR"/>
        </w:rPr>
      </w:pPr>
      <w:r>
        <w:rPr>
          <w:lang w:val="es-AR" w:eastAsia="es-AR" w:bidi="es-AR"/>
        </w:rPr>
        <w:t xml:space="preserve">Por su convergencia conceptual y jurídica, abordaré aquí tanto la crítica ensayada por la  citada en garantía. y la parte actora.</w:t>
      </w:r>
    </w:p>
    <w:p>
      <w:pPr>
        <w:pStyle w:val="[Normal]"/>
        <w:spacing w:line="360" w:lineRule="auto"/>
        <w:ind w:firstLine="1134"/>
        <w:jc w:val="both"/>
        <w:rPr>
          <w:lang w:val="es-AR" w:eastAsia="es-AR" w:bidi="es-AR"/>
        </w:rPr>
      </w:pPr>
      <w:r>
        <w:rPr>
          <w:lang w:val="es-AR" w:eastAsia="es-AR" w:bidi="es-AR"/>
        </w:rPr>
        <w:t xml:space="preserve">Sobre el punto, la aseguradora sostiene que la suma reconocida en la instancia de grado ($400.000) es irrazonable por falta de respaldo documental suficiente y pide su reducción. Por su parte, la actora replica que los desembolsos fueron acreditados con facturas, recibos y tickets y solicita su elevación a $800.000</w:t>
      </w:r>
    </w:p>
    <w:p>
      <w:pPr>
        <w:pStyle w:val="[Normal]"/>
        <w:spacing w:line="360" w:lineRule="auto"/>
        <w:ind w:firstLine="1134"/>
        <w:jc w:val="both"/>
        <w:rPr>
          <w:lang w:val="es-AR" w:eastAsia="es-AR" w:bidi="es-AR"/>
        </w:rPr>
      </w:pPr>
      <w:r>
        <w:rPr>
          <w:lang w:val="es-AR" w:eastAsia="es-AR" w:bidi="es-AR"/>
        </w:rPr>
        <w:t xml:space="preserve">Frente a esta divergencia impugnatoria, las constancias del expediente salen en auxilio de la verdad material: factura por honorarios médicos de la Dra. Marianela Junqueras (dermatología), 10/12/2021; facturas del Dr. Reybet Juan Andrés, 26/02/2021 y 16/03/2021; ticket de Farmacia Buenos Aires por alquiler de muletas, 10/04/2021; ticket de Farmacia Blanco por medicamentos, 03/03/2021; recibo de Perinat S.A. por $8.500 correspondiente a la factura B-14-50727, 31/03/2021; factura de la Lic. Erica Yanina Yavagnilo por honorarios profesionales (kinesiología/rehabilitación), 06/05/2021; recibo por Tomografía Computada (Clínica Pergamino S.R.L.), 07/05/2021; factura de Actividades Médicas Colón S.A. por doppler color periférico, 30/07/2021; ticket de Estación de Servicio Centro por combustible, 19/09/2021; y ticket de YPF San Carlos, 25/02/2021.</w:t>
      </w:r>
    </w:p>
    <w:p>
      <w:pPr>
        <w:pStyle w:val="[Normal]"/>
        <w:spacing w:line="360" w:lineRule="auto"/>
        <w:ind w:firstLine="1134"/>
        <w:jc w:val="both"/>
        <w:rPr>
          <w:lang w:val="es-AR" w:eastAsia="es-AR" w:bidi="es-AR"/>
        </w:rPr>
      </w:pPr>
      <w:r>
        <w:rPr>
          <w:lang w:val="es-AR" w:eastAsia="es-AR" w:bidi="es-AR"/>
        </w:rPr>
        <w:t xml:space="preserve">Estas constancias satisfacen la acreditación de los gastos de entidad (art. 375 CPCCBA) y, complementariamente, los desembolsos menudos y urgentes propios de la atención inicial y de los traslados se presumen por la sola ocurrencia del hecho y la necesidad terapéutica (arts. 1738 y 1746 CCyC). </w:t>
      </w:r>
    </w:p>
    <w:p>
      <w:pPr>
        <w:pStyle w:val="[Normal]"/>
        <w:spacing w:line="360" w:lineRule="auto"/>
        <w:ind w:firstLine="1134"/>
        <w:jc w:val="both"/>
        <w:rPr>
          <w:lang w:val="es-AR" w:eastAsia="es-AR" w:bidi="es-AR"/>
        </w:rPr>
      </w:pPr>
      <w:r>
        <w:rPr>
          <w:lang w:val="es-AR" w:eastAsia="es-AR" w:bidi="es-AR"/>
        </w:rPr>
        <w:t xml:space="preserve">En lo atinente a los gastos médicos, farmacéuticos y de traslados se ha dicho "</w:t>
      </w:r>
      <w:r>
        <w:rPr>
          <w:i/>
          <w:lang w:val="es-AR" w:eastAsia="es-AR" w:bidi="es-AR"/>
        </w:rPr>
        <w:t xml:space="preserve">La presunción en este punto (gastos médicos y farmacéuticos), alcanza a los gastos menores y corrientes que pudo haber incurrido el damnificado en atenciones médicas, analgésicos, traslados desde y hasta el centro de atención etc., debiéndose probar las erogaciones mayores, de una cuantía que exceda lo que en el curso normal de una lesión puede surgir.  Va de suyo que la carga de esas acreditaciones se encuentra en cabeza de quien reclama la indemnización en virtud de lo dispuesto por el art. 375 CPCC" </w:t>
      </w:r>
      <w:r>
        <w:rPr>
          <w:lang w:val="es-AR" w:eastAsia="es-AR" w:bidi="es-AR"/>
        </w:rPr>
        <w:t xml:space="preserve">(CC0202 LP 132453 RSD 247/2022 S 27/10/2022 JUBA B5083336).	 	En consecuencia, y manteniendo la coherencia con la prueba reseñada, corresponde rechazar la pretensión de reducción y elevar prudencialmente el rubro a $ 600.000 a la fecha de la sentencia, con intereses según las pautas del fallo de grado</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AFIRMATIVA.</w:t>
      </w:r>
    </w:p>
    <w:p>
      <w:pPr>
        <w:pStyle w:val="[Normal]"/>
        <w:spacing w:line="360" w:lineRule="auto"/>
        <w:ind w:firstLine="1134"/>
        <w:jc w:val="both"/>
        <w:rPr>
          <w:lang w:val="es-AR" w:eastAsia="es-AR" w:bidi="es-AR"/>
        </w:rPr>
      </w:pPr>
      <w:r>
        <w:rPr>
          <w:lang w:val="es-AR" w:eastAsia="es-AR" w:bidi="es-AR"/>
        </w:rPr>
        <w:t xml:space="preserve">A la misma cuestión el señor Juez Roberto Degleue por análogos fundamentos votó en el mismo sentido.-</w:t>
      </w:r>
    </w:p>
    <w:p>
      <w:pPr>
        <w:pStyle w:val="[Normal]"/>
        <w:spacing w:line="360" w:lineRule="auto"/>
        <w:ind w:firstLine="1134"/>
        <w:jc w:val="both"/>
        <w:rPr>
          <w:lang w:val="es-AR" w:eastAsia="es-AR" w:bidi="es-AR"/>
        </w:rPr>
      </w:pPr>
      <w:r>
        <w:rPr>
          <w:lang w:val="es-AR" w:eastAsia="es-AR" w:bidi="es-AR"/>
        </w:rPr>
        <w:t xml:space="preserve">A la segunda cuestión la señora Jueza Graciela Scaraffia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1) Hacer lugar parcialmente al recurso de apelación interpuesto por la parte actora, redefiniendo el rubro daño por incapacidad en la suma de $5.983.822,58, el rubro daño moral en la suma de $2.750.000 y el rubro gastos médicos en la suma de $ 600.000, confirmando en lo restante lo decidido en el fallo apelado. Con costas de Alzada a cargo de la parte demandada y citadas en garantía (art. 68/9 del CPCCBA).</w:t>
      </w:r>
    </w:p>
    <w:p>
      <w:pPr>
        <w:pStyle w:val="[Normal]"/>
        <w:spacing w:line="360" w:lineRule="auto"/>
        <w:ind w:firstLine="1134"/>
        <w:jc w:val="both"/>
        <w:rPr>
          <w:lang w:val="es-AR" w:eastAsia="es-AR" w:bidi="es-AR"/>
        </w:rPr>
      </w:pPr>
      <w:r>
        <w:rPr>
          <w:lang w:val="es-AR" w:eastAsia="es-AR" w:bidi="es-AR"/>
        </w:rPr>
        <w:t xml:space="preserve">2) Rechazar el recurso de apelación interpuesto por la citada en garantía Cooperación Mutual Patronal. Con costas de Alzada a su cargo. </w:t>
      </w:r>
    </w:p>
    <w:p>
      <w:pPr>
        <w:pStyle w:val="[Normal]"/>
        <w:spacing w:line="360" w:lineRule="auto"/>
        <w:ind w:firstLine="1134"/>
        <w:jc w:val="both"/>
        <w:rPr>
          <w:lang w:val="es-AR" w:eastAsia="es-AR" w:bidi="es-AR"/>
        </w:rPr>
      </w:pPr>
      <w:r>
        <w:rPr>
          <w:lang w:val="es-AR" w:eastAsia="es-AR" w:bidi="es-AR"/>
        </w:rPr>
        <w:t xml:space="preserve">3) Diferir la regulación de honorarios para su oportunidad respectiva (art. 31 de la ley 14.967).</w:t>
      </w:r>
    </w:p>
    <w:p>
      <w:pPr>
        <w:pStyle w:val="[Normal]"/>
        <w:spacing w:line="360" w:lineRule="auto"/>
        <w:ind w:firstLine="1134"/>
        <w:jc w:val="both"/>
        <w:rPr>
          <w:lang w:val="es-AR" w:eastAsia="es-AR" w:bidi="es-AR"/>
        </w:rPr>
      </w:pPr>
      <w:r>
        <w:rPr>
          <w:b/>
          <w:lang w:val="es-AR" w:eastAsia="es-AR" w:bidi="es-AR"/>
        </w:rPr>
        <w:t xml:space="preserve">ASI LO VOTO. </w:t>
      </w:r>
    </w:p>
    <w:p>
      <w:pPr>
        <w:pStyle w:val="[Normal]"/>
        <w:spacing w:line="360" w:lineRule="auto"/>
        <w:ind w:firstLine="1134"/>
        <w:jc w:val="both"/>
        <w:rPr>
          <w:lang w:val="es-AR" w:eastAsia="es-AR" w:bidi="es-AR"/>
        </w:rPr>
      </w:pPr>
      <w:r>
        <w:rPr>
          <w:lang w:val="es-AR" w:eastAsia="es-AR" w:bidi="es-AR"/>
        </w:rPr>
        <w:t xml:space="preserve">A la misma cuestión el señor Juez Roberto Degleue por análogos fundamentos votó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b/>
          <w:u w:val="single"/>
          <w:lang w:val="es-AR" w:eastAsia="es-AR" w:bidi="es-AR"/>
        </w:rPr>
      </w:pPr>
      <w:r>
        <w:rPr>
          <w:b/>
          <w:lang w:val="es-AR" w:eastAsia="es-AR" w:bidi="es-AR"/>
        </w:rPr>
        <w:t xml:space="preserve">S E N T E N C I A</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1) Hacer lugar parcialmente al recurso de apelación interpuesto por la parte actora, determinando el rubro daño por incapacidad en la suma de $ 5.983.822,58, el rubro daño moral en la suma de $2.750.000 y el rubro gastos médicos en la suma de $ 600.000, confirmando en lo restante lo decidido en el fallo apelado. Con costas de Alzada a cargo de la parte demandada y citadas en garantía (art. 68/9 del CPCCBA).</w:t>
      </w:r>
    </w:p>
    <w:p>
      <w:pPr>
        <w:pStyle w:val="[Normal]"/>
        <w:spacing w:line="360" w:lineRule="auto"/>
        <w:ind w:firstLine="1134"/>
        <w:jc w:val="both"/>
        <w:rPr>
          <w:lang w:val="es-AR" w:eastAsia="es-AR" w:bidi="es-AR"/>
        </w:rPr>
      </w:pPr>
      <w:r>
        <w:rPr>
          <w:lang w:val="es-AR" w:eastAsia="es-AR" w:bidi="es-AR"/>
        </w:rPr>
        <w:t xml:space="preserve">2) Rechazar el recurso de apelación interpuesto por la citada en garantía Cooperación Mutual Patronal. Con costas de Alzada a su cargo. </w:t>
      </w:r>
    </w:p>
    <w:p>
      <w:pPr>
        <w:pStyle w:val="[Normal]"/>
        <w:spacing w:line="360" w:lineRule="auto"/>
        <w:ind w:firstLine="1134"/>
        <w:jc w:val="both"/>
        <w:rPr>
          <w:lang w:val="es-AR" w:eastAsia="es-AR" w:bidi="es-AR"/>
        </w:rPr>
      </w:pPr>
      <w:r>
        <w:rPr>
          <w:lang w:val="es-AR" w:eastAsia="es-AR" w:bidi="es-AR"/>
        </w:rPr>
        <w:t xml:space="preserve">3) Diferir la regulación de honorarios para su oportunidad respectiva (art. 31 de la ley 14.967).</w:t>
      </w:r>
    </w:p>
    <w:p>
      <w:pPr>
        <w:pStyle w:val="[Normal]"/>
        <w:spacing w:line="360" w:lineRule="auto"/>
        <w:ind w:firstLine="1134"/>
        <w:jc w:val="both"/>
        <w:rPr>
          <w:color w:val="000000"/>
          <w:lang w:val="es-AR" w:eastAsia="es-AR" w:bidi="es-AR"/>
        </w:rPr>
      </w:pPr>
      <w:r>
        <w:rPr>
          <w:lang w:val="es-AR" w:eastAsia="es-AR" w:bidi="es-AR"/>
        </w:rPr>
        <w:t xml:space="preserve">Regístrese. Notifíquese por Secretaría (Ac. 4013 SCBA) remitiéndose copia digital de la presente sentencia a los domicilios electrónicos de las respectivas partes. Devuélvase.</w:t>
      </w:r>
    </w:p>
    <w:p>
      <w:pPr>
        <w:pStyle w:val="[Normal]"/>
        <w:spacing w:line="480" w:lineRule="auto"/>
        <w:ind w:firstLine="1134"/>
        <w:jc w:val="both"/>
        <w:rPr>
          <w:color w:val="000000"/>
          <w:lang w:val="es-AR" w:eastAsia="es-AR" w:bidi="es-AR"/>
        </w:rPr>
      </w:pPr>
      <w:r>
        <w:rPr>
          <w:color w:val="000000"/>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Domicilio Electrónico: 20258327013@NOTIFICACIONES.SCBA.GOV.AR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Domicilio Electrónico: 27222584138@NOTIFICACIONES.SCBA.GOV.AR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Domicilio Electrónico: 27203752739@NOTIFICACIONES.SCBA.GOV.AR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Domicilio Electrónico: 20237896727@NOTIFICACIONES.SCBA.GOV.AR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18/12/2025 10:04:52 -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18/12/2025 10:30:40 -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18/12/2025 11:53:48 - MOREA Adrian Oscar - SECRETARIO DE CÁMARA</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lang w:val="es-AR" w:eastAsia="es-AR" w:bidi="es-AR"/>
        </w:rPr>
      </w:pPr>
      <w:r>
        <w:rPr>
          <w:rFonts w:ascii="BarCode 128" w:hAnsi="BarCode 128" w:eastAsia="BarCode 128" w:cs="BarCode 128"/>
          <w:sz w:val="60"/>
          <w:lang w:val="es-AR" w:eastAsia="es-AR" w:bidi="es-AR"/>
        </w:rPr>
        <w:t xml:space="preserve">‰7‚")è&amp;h:i4Š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lang w:val="es-AR" w:eastAsia="es-AR" w:bidi="es-AR"/>
        </w:rPr>
      </w:pPr>
      <w:r>
        <w:rPr>
          <w:sz w:val="20"/>
          <w:lang w:val="es-AR" w:eastAsia="es-AR" w:bidi="es-AR"/>
        </w:rPr>
        <w:t xml:space="preserve">239802090006722673</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lang w:val="es-AR" w:eastAsia="es-AR" w:bidi="es-AR"/>
        </w:rPr>
        <w:t xml:space="preserve">CAMARA DE APELACION EN LO CIVIL Y COMERCIAL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NO CONTIENE ARCHIVOS ADJUNTOS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Registrado en REGISTRO DE SENTENCIAS el 18/12/2025 11:54:00 hs. bajo el número RS-190-2025 por MOREA ADRIAN OSCAR.</w:t>
      </w:r>
    </w:p>
    <w:p>
      <w:pPr>
        <w:pStyle w:val="[Normal]"/>
        <w:rPr>
          <w:lang w:val="es-AR" w:eastAsia="es-AR" w:bidi="es-AR"/>
        </w:rPr>
      </w:pP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Calibri">
    <w:panose1 w:val="020F0502020204030204"/>
    <w:charset w:val="00"/>
    <w:family w:val="swiss"/>
    <w:pitch w:val="variable"/>
    <w:sig w:usb0="E0002EFF" w:usb1="C000247B" w:usb2="00000009" w:usb3="00000000" w:csb0="200001FF" w:csb1="00000000"/>
  </w:font>
  <w:font w:name="BarCode 128">
    <w:charset w:val="00"/>
    <w:family w:val="auto"/>
    <w:pitch w:val="variable"/>
  </w:font>
</w:fonts>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3" Type="http://schemas.openxmlformats.org/officeDocument/2006/relationships/fontTable" Target="fontTable.xml"/>
	<Relationship Id="rId00004" Type="http://schemas.openxmlformats.org/officeDocument/2006/relationships/settings" Target="settings.xml"/>
</Relationships>
</file>